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27F982">
      <w:pPr>
        <w:jc w:val="center"/>
        <w:rPr>
          <w:sz w:val="20"/>
          <w:szCs w:val="20"/>
        </w:rPr>
      </w:pPr>
      <w:r>
        <w:rPr>
          <w:b/>
          <w:color w:val="1F4E79"/>
          <w:sz w:val="20"/>
          <w:szCs w:val="20"/>
        </w:rPr>
        <w:t>SWL-180 High-Speed Horizontal Cartoning Machine</w:t>
      </w:r>
    </w:p>
    <w:p w14:paraId="2861A4AB">
      <w:pPr>
        <w:jc w:val="center"/>
        <w:rPr>
          <w:sz w:val="15"/>
          <w:szCs w:val="15"/>
        </w:rPr>
      </w:pPr>
      <w:r>
        <w:rPr>
          <w:color w:val="595959"/>
          <w:sz w:val="15"/>
          <w:szCs w:val="15"/>
        </w:rPr>
        <w:t>Fully Automatic Horizontal Cartoner for Blister Cards, Bottles, Tubes, Sachets and Medical/Food Packaging</w:t>
      </w:r>
    </w:p>
    <w:p w14:paraId="1C1B3AC5">
      <w:pPr>
        <w:jc w:val="center"/>
        <w:rPr>
          <w:sz w:val="15"/>
          <w:szCs w:val="15"/>
        </w:rPr>
      </w:pPr>
      <w:r>
        <w:rPr>
          <w:sz w:val="15"/>
          <w:szCs w:val="15"/>
        </w:rPr>
        <w:drawing>
          <wp:inline distT="0" distB="0" distL="114300" distR="114300">
            <wp:extent cx="5943600" cy="214376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a:stretch>
                      <a:fillRect/>
                    </a:stretch>
                  </pic:blipFill>
                  <pic:spPr>
                    <a:xfrm>
                      <a:off x="0" y="0"/>
                      <a:ext cx="5943600" cy="2143779"/>
                    </a:xfrm>
                    <a:prstGeom prst="rect">
                      <a:avLst/>
                    </a:prstGeom>
                  </pic:spPr>
                </pic:pic>
              </a:graphicData>
            </a:graphic>
          </wp:inline>
        </w:drawing>
      </w:r>
    </w:p>
    <w:p w14:paraId="0293603C">
      <w:pPr>
        <w:pStyle w:val="4"/>
        <w:rPr>
          <w:sz w:val="15"/>
          <w:szCs w:val="15"/>
        </w:rPr>
      </w:pPr>
      <w:r>
        <w:rPr>
          <w:color w:val="1F4E79"/>
          <w:sz w:val="15"/>
          <w:szCs w:val="15"/>
        </w:rPr>
        <w:t>Website Product Page Fields</w:t>
      </w:r>
    </w:p>
    <w:tbl>
      <w:tblPr>
        <w:tblStyle w:val="32"/>
        <w:tblW w:w="0" w:type="auto"/>
        <w:jc w:val="center"/>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Layout w:type="fixed"/>
        <w:tblCellMar>
          <w:top w:w="0" w:type="dxa"/>
          <w:left w:w="108" w:type="dxa"/>
          <w:bottom w:w="0" w:type="dxa"/>
          <w:right w:w="108" w:type="dxa"/>
        </w:tblCellMar>
      </w:tblPr>
      <w:tblGrid>
        <w:gridCol w:w="5184"/>
        <w:gridCol w:w="5184"/>
      </w:tblGrid>
      <w:tr w14:paraId="60D8B639">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tblHeader/>
          <w:jc w:val="center"/>
        </w:trPr>
        <w:tc>
          <w:tcPr>
            <w:tcW w:w="3240" w:type="dxa"/>
            <w:shd w:val="clear" w:color="auto" w:fill="1F4E79"/>
            <w:vAlign w:val="center"/>
          </w:tcPr>
          <w:p w14:paraId="1E21F7A2">
            <w:pPr>
              <w:jc w:val="left"/>
              <w:rPr>
                <w:sz w:val="15"/>
                <w:szCs w:val="15"/>
              </w:rPr>
            </w:pPr>
            <w:r>
              <w:rPr>
                <w:b/>
                <w:color w:val="FFFFFF"/>
                <w:sz w:val="15"/>
                <w:szCs w:val="15"/>
              </w:rPr>
              <w:t>Field</w:t>
            </w:r>
          </w:p>
        </w:tc>
        <w:tc>
          <w:tcPr>
            <w:tcW w:w="6624" w:type="dxa"/>
            <w:shd w:val="clear" w:color="auto" w:fill="1F4E79"/>
            <w:vAlign w:val="center"/>
          </w:tcPr>
          <w:p w14:paraId="1DFB3FE4">
            <w:pPr>
              <w:jc w:val="left"/>
              <w:rPr>
                <w:sz w:val="15"/>
                <w:szCs w:val="15"/>
              </w:rPr>
            </w:pPr>
            <w:r>
              <w:rPr>
                <w:b/>
                <w:color w:val="FFFFFF"/>
                <w:sz w:val="15"/>
                <w:szCs w:val="15"/>
              </w:rPr>
              <w:t>Recommended English Content</w:t>
            </w:r>
          </w:p>
        </w:tc>
      </w:tr>
      <w:tr w14:paraId="53BE8F96">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3240" w:type="dxa"/>
            <w:shd w:val="clear" w:color="auto" w:fill="EAF2F8"/>
            <w:vAlign w:val="center"/>
          </w:tcPr>
          <w:p w14:paraId="43D56693">
            <w:pPr>
              <w:jc w:val="left"/>
              <w:rPr>
                <w:sz w:val="15"/>
                <w:szCs w:val="15"/>
              </w:rPr>
            </w:pPr>
            <w:r>
              <w:rPr>
                <w:b/>
                <w:sz w:val="15"/>
                <w:szCs w:val="15"/>
              </w:rPr>
              <w:t>H1 Title</w:t>
            </w:r>
          </w:p>
        </w:tc>
        <w:tc>
          <w:tcPr>
            <w:tcW w:w="6624" w:type="dxa"/>
            <w:vAlign w:val="center"/>
          </w:tcPr>
          <w:p w14:paraId="6401027C">
            <w:pPr>
              <w:jc w:val="left"/>
              <w:rPr>
                <w:sz w:val="15"/>
                <w:szCs w:val="15"/>
              </w:rPr>
            </w:pPr>
            <w:r>
              <w:rPr>
                <w:b w:val="0"/>
                <w:sz w:val="15"/>
                <w:szCs w:val="15"/>
              </w:rPr>
              <w:t>SWL-180 High-Speed Horizontal Cartoning Machine</w:t>
            </w:r>
          </w:p>
        </w:tc>
      </w:tr>
      <w:tr w14:paraId="68A0665D">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3240" w:type="dxa"/>
            <w:shd w:val="clear" w:color="auto" w:fill="EAF2F8"/>
            <w:vAlign w:val="center"/>
          </w:tcPr>
          <w:p w14:paraId="43EE4D1B">
            <w:pPr>
              <w:jc w:val="left"/>
              <w:rPr>
                <w:sz w:val="15"/>
                <w:szCs w:val="15"/>
              </w:rPr>
            </w:pPr>
            <w:r>
              <w:rPr>
                <w:b/>
                <w:sz w:val="15"/>
                <w:szCs w:val="15"/>
              </w:rPr>
              <w:t>SEO Title</w:t>
            </w:r>
          </w:p>
        </w:tc>
        <w:tc>
          <w:tcPr>
            <w:tcW w:w="6624" w:type="dxa"/>
            <w:vAlign w:val="center"/>
          </w:tcPr>
          <w:p w14:paraId="0C821A72">
            <w:pPr>
              <w:jc w:val="left"/>
              <w:rPr>
                <w:sz w:val="15"/>
                <w:szCs w:val="15"/>
              </w:rPr>
            </w:pPr>
            <w:r>
              <w:rPr>
                <w:b w:val="0"/>
                <w:sz w:val="15"/>
                <w:szCs w:val="15"/>
              </w:rPr>
              <w:t>SWL-180 High-Speed Horizontal Cartoning Machine for Bottles, Tubes and Blister Cards</w:t>
            </w:r>
          </w:p>
        </w:tc>
      </w:tr>
      <w:tr w14:paraId="0E433EB9">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3240" w:type="dxa"/>
            <w:shd w:val="clear" w:color="auto" w:fill="EAF2F8"/>
            <w:vAlign w:val="center"/>
          </w:tcPr>
          <w:p w14:paraId="5773389B">
            <w:pPr>
              <w:jc w:val="left"/>
              <w:rPr>
                <w:sz w:val="15"/>
                <w:szCs w:val="15"/>
              </w:rPr>
            </w:pPr>
            <w:r>
              <w:rPr>
                <w:b/>
                <w:sz w:val="15"/>
                <w:szCs w:val="15"/>
              </w:rPr>
              <w:t>Meta Description</w:t>
            </w:r>
          </w:p>
        </w:tc>
        <w:tc>
          <w:tcPr>
            <w:tcW w:w="6624" w:type="dxa"/>
            <w:vAlign w:val="center"/>
          </w:tcPr>
          <w:p w14:paraId="535A1A43">
            <w:pPr>
              <w:jc w:val="left"/>
              <w:rPr>
                <w:sz w:val="15"/>
                <w:szCs w:val="15"/>
              </w:rPr>
            </w:pPr>
            <w:r>
              <w:rPr>
                <w:b w:val="0"/>
                <w:sz w:val="15"/>
                <w:szCs w:val="15"/>
              </w:rPr>
              <w:t>SWL-180 horizontal cartoning machine for bottles, tubes, blister cards and sachets, with PLC, servo control and GMP/CE design.</w:t>
            </w:r>
          </w:p>
        </w:tc>
      </w:tr>
    </w:tbl>
    <w:p w14:paraId="5E5C827A">
      <w:pPr>
        <w:spacing w:after="40"/>
        <w:rPr>
          <w:sz w:val="15"/>
          <w:szCs w:val="15"/>
        </w:rPr>
      </w:pPr>
    </w:p>
    <w:p w14:paraId="0A9C2E45">
      <w:pPr>
        <w:pStyle w:val="4"/>
        <w:rPr>
          <w:sz w:val="15"/>
          <w:szCs w:val="15"/>
        </w:rPr>
      </w:pPr>
      <w:r>
        <w:rPr>
          <w:color w:val="1F4E79"/>
          <w:sz w:val="15"/>
          <w:szCs w:val="15"/>
        </w:rPr>
        <w:t>Product Description</w:t>
      </w:r>
    </w:p>
    <w:p w14:paraId="6A918A4B">
      <w:pPr>
        <w:spacing w:after="120" w:line="259" w:lineRule="auto"/>
        <w:rPr>
          <w:sz w:val="15"/>
          <w:szCs w:val="15"/>
        </w:rPr>
      </w:pPr>
      <w:r>
        <w:rPr>
          <w:sz w:val="15"/>
          <w:szCs w:val="15"/>
        </w:rPr>
        <w:t>The SWL-180 is a fully automatic high-speed horizontal cartoning machine developed for continuous carton forming, product loading and carton closing. It adopts rotary outward carton opening with a pre-forming mechanism to help the carton open completely before product insertion. The machine is designed with product and carton detection logic: no product, no carton feeding; product present but no carton, no pushing.</w:t>
      </w:r>
    </w:p>
    <w:p w14:paraId="535C6E2E">
      <w:pPr>
        <w:spacing w:after="120" w:line="259" w:lineRule="auto"/>
        <w:rPr>
          <w:sz w:val="15"/>
          <w:szCs w:val="15"/>
        </w:rPr>
      </w:pPr>
      <w:r>
        <w:rPr>
          <w:sz w:val="15"/>
          <w:szCs w:val="15"/>
        </w:rPr>
        <w:t>The control system integrates PLC control, HMI operation, servo control, electronic cam and variable-frequency speed regulation. Photoelectric sensors and encoders are used for material detection, carton detection, position feedback and interlocked machine actions. The equipment is suitable for packaging blister cards, bottles, tubes, sachets, soft double-aluminum packs and similar products in pharmaceutical, medical, food, daily chemical, lighting and confectionery applications.</w:t>
      </w:r>
    </w:p>
    <w:p w14:paraId="53E13E88">
      <w:pPr>
        <w:spacing w:before="40" w:after="120"/>
        <w:rPr>
          <w:sz w:val="15"/>
          <w:szCs w:val="15"/>
        </w:rPr>
      </w:pPr>
      <w:r>
        <w:rPr>
          <w:i/>
          <w:color w:val="595959"/>
          <w:sz w:val="15"/>
          <w:szCs w:val="15"/>
        </w:rPr>
        <w:t>Actual output and final configuration should be confirmed according to product characteristics, carton material, feeding method and project requirements.</w:t>
      </w:r>
    </w:p>
    <w:p w14:paraId="2C406F7F">
      <w:pPr>
        <w:pStyle w:val="4"/>
        <w:rPr>
          <w:sz w:val="15"/>
          <w:szCs w:val="15"/>
        </w:rPr>
      </w:pPr>
      <w:r>
        <w:rPr>
          <w:color w:val="1F4E79"/>
          <w:sz w:val="15"/>
          <w:szCs w:val="15"/>
        </w:rPr>
        <w:t>6 Core Custom Attributes</w:t>
      </w:r>
    </w:p>
    <w:tbl>
      <w:tblPr>
        <w:tblStyle w:val="32"/>
        <w:tblW w:w="0" w:type="auto"/>
        <w:jc w:val="center"/>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Layout w:type="fixed"/>
        <w:tblCellMar>
          <w:top w:w="0" w:type="dxa"/>
          <w:left w:w="108" w:type="dxa"/>
          <w:bottom w:w="0" w:type="dxa"/>
          <w:right w:w="108" w:type="dxa"/>
        </w:tblCellMar>
      </w:tblPr>
      <w:tblGrid>
        <w:gridCol w:w="5184"/>
        <w:gridCol w:w="5184"/>
      </w:tblGrid>
      <w:tr w14:paraId="395C1EB3">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tblHeader/>
          <w:jc w:val="center"/>
        </w:trPr>
        <w:tc>
          <w:tcPr>
            <w:tcW w:w="3240" w:type="dxa"/>
            <w:shd w:val="clear" w:color="auto" w:fill="1F4E79"/>
            <w:vAlign w:val="center"/>
          </w:tcPr>
          <w:p w14:paraId="411C6B0C">
            <w:pPr>
              <w:jc w:val="left"/>
              <w:rPr>
                <w:sz w:val="15"/>
                <w:szCs w:val="15"/>
              </w:rPr>
            </w:pPr>
            <w:r>
              <w:rPr>
                <w:b/>
                <w:color w:val="FFFFFF"/>
                <w:sz w:val="15"/>
                <w:szCs w:val="15"/>
              </w:rPr>
              <w:t>Custom Attribute</w:t>
            </w:r>
          </w:p>
        </w:tc>
        <w:tc>
          <w:tcPr>
            <w:tcW w:w="6624" w:type="dxa"/>
            <w:shd w:val="clear" w:color="auto" w:fill="1F4E79"/>
            <w:vAlign w:val="center"/>
          </w:tcPr>
          <w:p w14:paraId="63645469">
            <w:pPr>
              <w:jc w:val="left"/>
              <w:rPr>
                <w:sz w:val="15"/>
                <w:szCs w:val="15"/>
              </w:rPr>
            </w:pPr>
            <w:r>
              <w:rPr>
                <w:b/>
                <w:color w:val="FFFFFF"/>
                <w:sz w:val="15"/>
                <w:szCs w:val="15"/>
              </w:rPr>
              <w:t>Value</w:t>
            </w:r>
          </w:p>
        </w:tc>
      </w:tr>
      <w:tr w14:paraId="4118A701">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3240" w:type="dxa"/>
            <w:shd w:val="clear" w:color="auto" w:fill="EAF2F8"/>
            <w:vAlign w:val="center"/>
          </w:tcPr>
          <w:p w14:paraId="749BBC21">
            <w:pPr>
              <w:jc w:val="left"/>
              <w:rPr>
                <w:sz w:val="15"/>
                <w:szCs w:val="15"/>
              </w:rPr>
            </w:pPr>
            <w:r>
              <w:rPr>
                <w:b/>
                <w:sz w:val="15"/>
                <w:szCs w:val="15"/>
              </w:rPr>
              <w:t>Product Type</w:t>
            </w:r>
          </w:p>
        </w:tc>
        <w:tc>
          <w:tcPr>
            <w:tcW w:w="6624" w:type="dxa"/>
            <w:vAlign w:val="center"/>
          </w:tcPr>
          <w:p w14:paraId="645659D0">
            <w:pPr>
              <w:jc w:val="left"/>
              <w:rPr>
                <w:sz w:val="15"/>
                <w:szCs w:val="15"/>
              </w:rPr>
            </w:pPr>
            <w:r>
              <w:rPr>
                <w:b w:val="0"/>
                <w:sz w:val="15"/>
                <w:szCs w:val="15"/>
              </w:rPr>
              <w:t>Fully Automatic High-Speed Horizontal Cartoning Machine</w:t>
            </w:r>
          </w:p>
        </w:tc>
      </w:tr>
      <w:tr w14:paraId="52AC9AB3">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3240" w:type="dxa"/>
            <w:shd w:val="clear" w:color="auto" w:fill="EAF2F8"/>
            <w:vAlign w:val="center"/>
          </w:tcPr>
          <w:p w14:paraId="65C2D2C7">
            <w:pPr>
              <w:jc w:val="left"/>
              <w:rPr>
                <w:sz w:val="15"/>
                <w:szCs w:val="15"/>
              </w:rPr>
            </w:pPr>
            <w:r>
              <w:rPr>
                <w:b/>
                <w:sz w:val="15"/>
                <w:szCs w:val="15"/>
              </w:rPr>
              <w:t>Cartoning Format</w:t>
            </w:r>
          </w:p>
        </w:tc>
        <w:tc>
          <w:tcPr>
            <w:tcW w:w="6624" w:type="dxa"/>
            <w:vAlign w:val="center"/>
          </w:tcPr>
          <w:p w14:paraId="162943E1">
            <w:pPr>
              <w:jc w:val="left"/>
              <w:rPr>
                <w:sz w:val="15"/>
                <w:szCs w:val="15"/>
              </w:rPr>
            </w:pPr>
            <w:r>
              <w:rPr>
                <w:b w:val="0"/>
                <w:sz w:val="15"/>
                <w:szCs w:val="15"/>
              </w:rPr>
              <w:t>Horizontal continuous cartoning; rotary carton opening with carton pre-forming</w:t>
            </w:r>
          </w:p>
        </w:tc>
      </w:tr>
      <w:tr w14:paraId="33C258FE">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3240" w:type="dxa"/>
            <w:shd w:val="clear" w:color="auto" w:fill="EAF2F8"/>
            <w:vAlign w:val="center"/>
          </w:tcPr>
          <w:p w14:paraId="0EF859D2">
            <w:pPr>
              <w:jc w:val="left"/>
              <w:rPr>
                <w:sz w:val="15"/>
                <w:szCs w:val="15"/>
              </w:rPr>
            </w:pPr>
            <w:r>
              <w:rPr>
                <w:b/>
                <w:sz w:val="15"/>
                <w:szCs w:val="15"/>
              </w:rPr>
              <w:t>Output Capacity</w:t>
            </w:r>
          </w:p>
        </w:tc>
        <w:tc>
          <w:tcPr>
            <w:tcW w:w="6624" w:type="dxa"/>
            <w:vAlign w:val="center"/>
          </w:tcPr>
          <w:p w14:paraId="3D27F3A9">
            <w:pPr>
              <w:jc w:val="left"/>
              <w:rPr>
                <w:sz w:val="15"/>
                <w:szCs w:val="15"/>
              </w:rPr>
            </w:pPr>
            <w:r>
              <w:rPr>
                <w:b w:val="0"/>
                <w:sz w:val="15"/>
                <w:szCs w:val="15"/>
              </w:rPr>
              <w:t>Up to 100 cartons/min for the stated technical configuration</w:t>
            </w:r>
          </w:p>
        </w:tc>
      </w:tr>
      <w:tr w14:paraId="7103A0D5">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3240" w:type="dxa"/>
            <w:shd w:val="clear" w:color="auto" w:fill="EAF2F8"/>
            <w:vAlign w:val="center"/>
          </w:tcPr>
          <w:p w14:paraId="48A55C2E">
            <w:pPr>
              <w:jc w:val="left"/>
              <w:rPr>
                <w:sz w:val="15"/>
                <w:szCs w:val="15"/>
              </w:rPr>
            </w:pPr>
            <w:r>
              <w:rPr>
                <w:b/>
                <w:sz w:val="15"/>
                <w:szCs w:val="15"/>
              </w:rPr>
              <w:t>Carton Size Range</w:t>
            </w:r>
          </w:p>
        </w:tc>
        <w:tc>
          <w:tcPr>
            <w:tcW w:w="6624" w:type="dxa"/>
            <w:vAlign w:val="center"/>
          </w:tcPr>
          <w:p w14:paraId="5BB52B3A">
            <w:pPr>
              <w:jc w:val="left"/>
              <w:rPr>
                <w:sz w:val="15"/>
                <w:szCs w:val="15"/>
              </w:rPr>
            </w:pPr>
            <w:r>
              <w:rPr>
                <w:b w:val="0"/>
                <w:sz w:val="15"/>
                <w:szCs w:val="15"/>
              </w:rPr>
              <w:t>L100-260 mm x W25-260 mm x H25-65 mm</w:t>
            </w:r>
          </w:p>
        </w:tc>
      </w:tr>
      <w:tr w14:paraId="4B3B171F">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3240" w:type="dxa"/>
            <w:shd w:val="clear" w:color="auto" w:fill="EAF2F8"/>
            <w:vAlign w:val="center"/>
          </w:tcPr>
          <w:p w14:paraId="0D334CE4">
            <w:pPr>
              <w:jc w:val="left"/>
              <w:rPr>
                <w:sz w:val="15"/>
                <w:szCs w:val="15"/>
              </w:rPr>
            </w:pPr>
            <w:r>
              <w:rPr>
                <w:b/>
                <w:sz w:val="15"/>
                <w:szCs w:val="15"/>
              </w:rPr>
              <w:t>Applicable Products</w:t>
            </w:r>
          </w:p>
        </w:tc>
        <w:tc>
          <w:tcPr>
            <w:tcW w:w="6624" w:type="dxa"/>
            <w:vAlign w:val="center"/>
          </w:tcPr>
          <w:p w14:paraId="1870AAD3">
            <w:pPr>
              <w:jc w:val="left"/>
              <w:rPr>
                <w:sz w:val="15"/>
                <w:szCs w:val="15"/>
              </w:rPr>
            </w:pPr>
            <w:r>
              <w:rPr>
                <w:b w:val="0"/>
                <w:sz w:val="15"/>
                <w:szCs w:val="15"/>
              </w:rPr>
              <w:t>Blister cards, bottles, tubes, sachets, soft double-aluminum packs and similar products</w:t>
            </w:r>
          </w:p>
        </w:tc>
      </w:tr>
      <w:tr w14:paraId="171D93B2">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3240" w:type="dxa"/>
            <w:shd w:val="clear" w:color="auto" w:fill="EAF2F8"/>
            <w:vAlign w:val="center"/>
          </w:tcPr>
          <w:p w14:paraId="63DF6928">
            <w:pPr>
              <w:jc w:val="left"/>
              <w:rPr>
                <w:sz w:val="15"/>
                <w:szCs w:val="15"/>
              </w:rPr>
            </w:pPr>
            <w:r>
              <w:rPr>
                <w:b/>
                <w:sz w:val="15"/>
                <w:szCs w:val="15"/>
              </w:rPr>
              <w:t>Control &amp; Compliance</w:t>
            </w:r>
          </w:p>
        </w:tc>
        <w:tc>
          <w:tcPr>
            <w:tcW w:w="6624" w:type="dxa"/>
            <w:vAlign w:val="center"/>
          </w:tcPr>
          <w:p w14:paraId="153E31A2">
            <w:pPr>
              <w:jc w:val="left"/>
              <w:rPr>
                <w:sz w:val="15"/>
                <w:szCs w:val="15"/>
              </w:rPr>
            </w:pPr>
            <w:r>
              <w:rPr>
                <w:b w:val="0"/>
                <w:sz w:val="15"/>
                <w:szCs w:val="15"/>
              </w:rPr>
              <w:t>PLC + HMI + servo control + electronic cam; designed to meet GMP and CE requirements</w:t>
            </w:r>
          </w:p>
        </w:tc>
      </w:tr>
    </w:tbl>
    <w:p w14:paraId="4C46780B">
      <w:pPr>
        <w:spacing w:after="40"/>
        <w:rPr>
          <w:sz w:val="15"/>
          <w:szCs w:val="15"/>
        </w:rPr>
      </w:pPr>
    </w:p>
    <w:p w14:paraId="0D7476B7">
      <w:pPr>
        <w:pStyle w:val="4"/>
        <w:rPr>
          <w:sz w:val="15"/>
          <w:szCs w:val="15"/>
        </w:rPr>
      </w:pPr>
      <w:r>
        <w:rPr>
          <w:color w:val="1F4E79"/>
          <w:sz w:val="15"/>
          <w:szCs w:val="15"/>
        </w:rPr>
        <w:t>Key Features</w:t>
      </w:r>
    </w:p>
    <w:p w14:paraId="1F639C5E">
      <w:pPr>
        <w:pStyle w:val="16"/>
        <w:spacing w:after="60"/>
        <w:rPr>
          <w:sz w:val="15"/>
          <w:szCs w:val="15"/>
        </w:rPr>
      </w:pPr>
      <w:r>
        <w:rPr>
          <w:sz w:val="15"/>
          <w:szCs w:val="15"/>
        </w:rPr>
        <w:t>Horizontal continuous cartoning structure using servo drive, mechanical cam and gear transmission, with modular design for operation and maintenance.</w:t>
      </w:r>
    </w:p>
    <w:p w14:paraId="7643C9E7">
      <w:pPr>
        <w:pStyle w:val="16"/>
        <w:spacing w:after="60"/>
        <w:rPr>
          <w:sz w:val="15"/>
          <w:szCs w:val="15"/>
        </w:rPr>
      </w:pPr>
      <w:r>
        <w:rPr>
          <w:sz w:val="15"/>
          <w:szCs w:val="15"/>
        </w:rPr>
        <w:t>PLC and HMI control with fault display, alarm information and finished product counting functions.</w:t>
      </w:r>
    </w:p>
    <w:p w14:paraId="5F9021C8">
      <w:pPr>
        <w:pStyle w:val="16"/>
        <w:spacing w:after="60"/>
        <w:rPr>
          <w:sz w:val="15"/>
          <w:szCs w:val="15"/>
        </w:rPr>
      </w:pPr>
      <w:r>
        <w:rPr>
          <w:sz w:val="15"/>
          <w:szCs w:val="15"/>
        </w:rPr>
        <w:t>Product-carton detection logic prevents carton feeding without product and prevents pushing when a carton is not detected.</w:t>
      </w:r>
    </w:p>
    <w:p w14:paraId="773B0EBD">
      <w:pPr>
        <w:pStyle w:val="16"/>
        <w:spacing w:after="60"/>
        <w:rPr>
          <w:sz w:val="15"/>
          <w:szCs w:val="15"/>
        </w:rPr>
      </w:pPr>
      <w:r>
        <w:rPr>
          <w:sz w:val="15"/>
          <w:szCs w:val="15"/>
        </w:rPr>
        <w:t>Optional automatic leaflet folding and insertion, coding, rejection and hot-melt glue sealing can be added according to project requirements.</w:t>
      </w:r>
    </w:p>
    <w:p w14:paraId="6036227E">
      <w:pPr>
        <w:pStyle w:val="16"/>
        <w:spacing w:after="60"/>
        <w:rPr>
          <w:sz w:val="15"/>
          <w:szCs w:val="15"/>
        </w:rPr>
      </w:pPr>
      <w:r>
        <w:rPr>
          <w:sz w:val="15"/>
          <w:szCs w:val="15"/>
        </w:rPr>
        <w:t>Suitable for daily chemical, pharmaceutical, medical, food, lighting and confectionery cartoning applications, and can be connected with upstream and downstream production lines.</w:t>
      </w:r>
    </w:p>
    <w:p w14:paraId="1BF3053D">
      <w:pPr>
        <w:pStyle w:val="16"/>
        <w:spacing w:after="60"/>
        <w:rPr>
          <w:sz w:val="15"/>
          <w:szCs w:val="15"/>
        </w:rPr>
      </w:pPr>
      <w:r>
        <w:rPr>
          <w:sz w:val="15"/>
          <w:szCs w:val="15"/>
        </w:rPr>
        <w:t>Designed with safety guarding, door interlock protection, missing-carton alarm and air pressure protection.</w:t>
      </w:r>
    </w:p>
    <w:p w14:paraId="42BD0983">
      <w:pPr>
        <w:pStyle w:val="4"/>
        <w:rPr>
          <w:sz w:val="15"/>
          <w:szCs w:val="15"/>
        </w:rPr>
      </w:pPr>
      <w:r>
        <w:rPr>
          <w:color w:val="1F4E79"/>
          <w:sz w:val="15"/>
          <w:szCs w:val="15"/>
        </w:rPr>
        <w:t>Technical Specifications</w:t>
      </w:r>
    </w:p>
    <w:tbl>
      <w:tblPr>
        <w:tblStyle w:val="32"/>
        <w:tblW w:w="0" w:type="auto"/>
        <w:jc w:val="center"/>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Layout w:type="fixed"/>
        <w:tblCellMar>
          <w:top w:w="0" w:type="dxa"/>
          <w:left w:w="108" w:type="dxa"/>
          <w:bottom w:w="0" w:type="dxa"/>
          <w:right w:w="108" w:type="dxa"/>
        </w:tblCellMar>
      </w:tblPr>
      <w:tblGrid>
        <w:gridCol w:w="5184"/>
        <w:gridCol w:w="5184"/>
      </w:tblGrid>
      <w:tr w14:paraId="6DF6A367">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tblHeader/>
          <w:jc w:val="center"/>
        </w:trPr>
        <w:tc>
          <w:tcPr>
            <w:tcW w:w="3240" w:type="dxa"/>
            <w:shd w:val="clear" w:color="auto" w:fill="1F4E79"/>
            <w:vAlign w:val="center"/>
          </w:tcPr>
          <w:p w14:paraId="3796498C">
            <w:pPr>
              <w:jc w:val="left"/>
              <w:rPr>
                <w:sz w:val="15"/>
                <w:szCs w:val="15"/>
              </w:rPr>
            </w:pPr>
            <w:r>
              <w:rPr>
                <w:b/>
                <w:color w:val="FFFFFF"/>
                <w:sz w:val="15"/>
                <w:szCs w:val="15"/>
              </w:rPr>
              <w:t>Item</w:t>
            </w:r>
          </w:p>
        </w:tc>
        <w:tc>
          <w:tcPr>
            <w:tcW w:w="6624" w:type="dxa"/>
            <w:shd w:val="clear" w:color="auto" w:fill="1F4E79"/>
            <w:vAlign w:val="center"/>
          </w:tcPr>
          <w:p w14:paraId="73DF37D4">
            <w:pPr>
              <w:jc w:val="left"/>
              <w:rPr>
                <w:sz w:val="15"/>
                <w:szCs w:val="15"/>
              </w:rPr>
            </w:pPr>
            <w:r>
              <w:rPr>
                <w:b/>
                <w:color w:val="FFFFFF"/>
                <w:sz w:val="15"/>
                <w:szCs w:val="15"/>
              </w:rPr>
              <w:t>Specification</w:t>
            </w:r>
          </w:p>
        </w:tc>
      </w:tr>
      <w:tr w14:paraId="4D458AB5">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3240" w:type="dxa"/>
            <w:shd w:val="clear" w:color="auto" w:fill="EAF2F8"/>
            <w:vAlign w:val="center"/>
          </w:tcPr>
          <w:p w14:paraId="56A9580A">
            <w:pPr>
              <w:jc w:val="left"/>
              <w:rPr>
                <w:sz w:val="15"/>
                <w:szCs w:val="15"/>
              </w:rPr>
            </w:pPr>
            <w:r>
              <w:rPr>
                <w:b/>
                <w:sz w:val="15"/>
                <w:szCs w:val="15"/>
              </w:rPr>
              <w:t>Overall Dimensions</w:t>
            </w:r>
          </w:p>
        </w:tc>
        <w:tc>
          <w:tcPr>
            <w:tcW w:w="6624" w:type="dxa"/>
            <w:vAlign w:val="center"/>
          </w:tcPr>
          <w:p w14:paraId="4797030E">
            <w:pPr>
              <w:jc w:val="left"/>
              <w:rPr>
                <w:sz w:val="15"/>
                <w:szCs w:val="15"/>
              </w:rPr>
            </w:pPr>
            <w:r>
              <w:rPr>
                <w:b w:val="0"/>
                <w:sz w:val="15"/>
                <w:szCs w:val="15"/>
              </w:rPr>
              <w:t>9100 mm x 2200 mm x 1900 mm</w:t>
            </w:r>
          </w:p>
        </w:tc>
      </w:tr>
      <w:tr w14:paraId="031A7D8E">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3240" w:type="dxa"/>
            <w:shd w:val="clear" w:color="auto" w:fill="EAF2F8"/>
            <w:vAlign w:val="center"/>
          </w:tcPr>
          <w:p w14:paraId="4FF2389D">
            <w:pPr>
              <w:jc w:val="left"/>
              <w:rPr>
                <w:sz w:val="15"/>
                <w:szCs w:val="15"/>
              </w:rPr>
            </w:pPr>
            <w:r>
              <w:rPr>
                <w:b/>
                <w:sz w:val="15"/>
                <w:szCs w:val="15"/>
              </w:rPr>
              <w:t>Production Capacity</w:t>
            </w:r>
          </w:p>
        </w:tc>
        <w:tc>
          <w:tcPr>
            <w:tcW w:w="6624" w:type="dxa"/>
            <w:vAlign w:val="center"/>
          </w:tcPr>
          <w:p w14:paraId="5C6EA0B2">
            <w:pPr>
              <w:jc w:val="left"/>
              <w:rPr>
                <w:sz w:val="15"/>
                <w:szCs w:val="15"/>
              </w:rPr>
            </w:pPr>
            <w:r>
              <w:rPr>
                <w:b w:val="0"/>
                <w:sz w:val="15"/>
                <w:szCs w:val="15"/>
              </w:rPr>
              <w:t>100 cartons/min</w:t>
            </w:r>
          </w:p>
        </w:tc>
      </w:tr>
      <w:tr w14:paraId="4E81D46C">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3240" w:type="dxa"/>
            <w:shd w:val="clear" w:color="auto" w:fill="EAF2F8"/>
            <w:vAlign w:val="center"/>
          </w:tcPr>
          <w:p w14:paraId="66B2D1D1">
            <w:pPr>
              <w:jc w:val="left"/>
              <w:rPr>
                <w:sz w:val="15"/>
                <w:szCs w:val="15"/>
              </w:rPr>
            </w:pPr>
            <w:r>
              <w:rPr>
                <w:b/>
                <w:sz w:val="15"/>
                <w:szCs w:val="15"/>
              </w:rPr>
              <w:t>Carton Range</w:t>
            </w:r>
          </w:p>
        </w:tc>
        <w:tc>
          <w:tcPr>
            <w:tcW w:w="6624" w:type="dxa"/>
            <w:vAlign w:val="center"/>
          </w:tcPr>
          <w:p w14:paraId="6EDE7A22">
            <w:pPr>
              <w:jc w:val="left"/>
              <w:rPr>
                <w:sz w:val="15"/>
                <w:szCs w:val="15"/>
              </w:rPr>
            </w:pPr>
            <w:r>
              <w:rPr>
                <w:b w:val="0"/>
                <w:sz w:val="15"/>
                <w:szCs w:val="15"/>
              </w:rPr>
              <w:t>Length 100-260 mm; Width 25-260 mm; Height 25-65 mm</w:t>
            </w:r>
          </w:p>
        </w:tc>
      </w:tr>
      <w:tr w14:paraId="42B5403A">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3240" w:type="dxa"/>
            <w:shd w:val="clear" w:color="auto" w:fill="EAF2F8"/>
            <w:vAlign w:val="center"/>
          </w:tcPr>
          <w:p w14:paraId="4C42CA51">
            <w:pPr>
              <w:jc w:val="left"/>
              <w:rPr>
                <w:sz w:val="15"/>
                <w:szCs w:val="15"/>
              </w:rPr>
            </w:pPr>
            <w:r>
              <w:rPr>
                <w:b/>
                <w:sz w:val="15"/>
                <w:szCs w:val="15"/>
              </w:rPr>
              <w:t>Main Machine Power</w:t>
            </w:r>
          </w:p>
        </w:tc>
        <w:tc>
          <w:tcPr>
            <w:tcW w:w="6624" w:type="dxa"/>
            <w:vAlign w:val="center"/>
          </w:tcPr>
          <w:p w14:paraId="2B908A00">
            <w:pPr>
              <w:jc w:val="left"/>
              <w:rPr>
                <w:sz w:val="15"/>
                <w:szCs w:val="15"/>
              </w:rPr>
            </w:pPr>
            <w:r>
              <w:rPr>
                <w:b w:val="0"/>
                <w:sz w:val="15"/>
                <w:szCs w:val="15"/>
              </w:rPr>
              <w:t>3 kW</w:t>
            </w:r>
          </w:p>
        </w:tc>
      </w:tr>
      <w:tr w14:paraId="33418CE3">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3240" w:type="dxa"/>
            <w:shd w:val="clear" w:color="auto" w:fill="EAF2F8"/>
            <w:vAlign w:val="center"/>
          </w:tcPr>
          <w:p w14:paraId="2C854175">
            <w:pPr>
              <w:jc w:val="left"/>
              <w:rPr>
                <w:sz w:val="15"/>
                <w:szCs w:val="15"/>
              </w:rPr>
            </w:pPr>
            <w:r>
              <w:rPr>
                <w:b/>
                <w:sz w:val="15"/>
                <w:szCs w:val="15"/>
              </w:rPr>
              <w:t>Optional Hot-Melt Glue System Power</w:t>
            </w:r>
          </w:p>
        </w:tc>
        <w:tc>
          <w:tcPr>
            <w:tcW w:w="6624" w:type="dxa"/>
            <w:vAlign w:val="center"/>
          </w:tcPr>
          <w:p w14:paraId="7F654CC6">
            <w:pPr>
              <w:jc w:val="left"/>
              <w:rPr>
                <w:sz w:val="15"/>
                <w:szCs w:val="15"/>
              </w:rPr>
            </w:pPr>
            <w:r>
              <w:rPr>
                <w:b w:val="0"/>
                <w:sz w:val="15"/>
                <w:szCs w:val="15"/>
              </w:rPr>
              <w:t>Approx. 6 kW</w:t>
            </w:r>
          </w:p>
        </w:tc>
      </w:tr>
      <w:tr w14:paraId="366134EC">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3240" w:type="dxa"/>
            <w:shd w:val="clear" w:color="auto" w:fill="EAF2F8"/>
            <w:vAlign w:val="center"/>
          </w:tcPr>
          <w:p w14:paraId="4EF7A51A">
            <w:pPr>
              <w:jc w:val="left"/>
              <w:rPr>
                <w:sz w:val="15"/>
                <w:szCs w:val="15"/>
              </w:rPr>
            </w:pPr>
            <w:r>
              <w:rPr>
                <w:b/>
                <w:sz w:val="15"/>
                <w:szCs w:val="15"/>
              </w:rPr>
              <w:t>Air Consumption</w:t>
            </w:r>
          </w:p>
        </w:tc>
        <w:tc>
          <w:tcPr>
            <w:tcW w:w="6624" w:type="dxa"/>
            <w:vAlign w:val="center"/>
          </w:tcPr>
          <w:p w14:paraId="7FEC8159">
            <w:pPr>
              <w:jc w:val="left"/>
              <w:rPr>
                <w:sz w:val="15"/>
                <w:szCs w:val="15"/>
              </w:rPr>
            </w:pPr>
            <w:r>
              <w:rPr>
                <w:b w:val="0"/>
                <w:sz w:val="15"/>
                <w:szCs w:val="15"/>
              </w:rPr>
              <w:t>80 L/min</w:t>
            </w:r>
          </w:p>
        </w:tc>
      </w:tr>
      <w:tr w14:paraId="3BE4F9EA">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3240" w:type="dxa"/>
            <w:shd w:val="clear" w:color="auto" w:fill="EAF2F8"/>
            <w:vAlign w:val="center"/>
          </w:tcPr>
          <w:p w14:paraId="493967DB">
            <w:pPr>
              <w:jc w:val="left"/>
              <w:rPr>
                <w:sz w:val="15"/>
                <w:szCs w:val="15"/>
              </w:rPr>
            </w:pPr>
            <w:r>
              <w:rPr>
                <w:b/>
                <w:sz w:val="15"/>
                <w:szCs w:val="15"/>
              </w:rPr>
              <w:t>Air Pressure</w:t>
            </w:r>
          </w:p>
        </w:tc>
        <w:tc>
          <w:tcPr>
            <w:tcW w:w="6624" w:type="dxa"/>
            <w:vAlign w:val="center"/>
          </w:tcPr>
          <w:p w14:paraId="0B4AD45D">
            <w:pPr>
              <w:jc w:val="left"/>
              <w:rPr>
                <w:sz w:val="15"/>
                <w:szCs w:val="15"/>
              </w:rPr>
            </w:pPr>
            <w:r>
              <w:rPr>
                <w:b w:val="0"/>
                <w:sz w:val="15"/>
                <w:szCs w:val="15"/>
              </w:rPr>
              <w:t>0.6 MPa</w:t>
            </w:r>
          </w:p>
        </w:tc>
      </w:tr>
      <w:tr w14:paraId="6CC430A7">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3240" w:type="dxa"/>
            <w:shd w:val="clear" w:color="auto" w:fill="EAF2F8"/>
            <w:vAlign w:val="center"/>
          </w:tcPr>
          <w:p w14:paraId="23BDB6D3">
            <w:pPr>
              <w:jc w:val="left"/>
              <w:rPr>
                <w:sz w:val="15"/>
                <w:szCs w:val="15"/>
              </w:rPr>
            </w:pPr>
            <w:r>
              <w:rPr>
                <w:b/>
                <w:sz w:val="15"/>
                <w:szCs w:val="15"/>
              </w:rPr>
              <w:t>Machine Weight</w:t>
            </w:r>
          </w:p>
        </w:tc>
        <w:tc>
          <w:tcPr>
            <w:tcW w:w="6624" w:type="dxa"/>
            <w:vAlign w:val="center"/>
          </w:tcPr>
          <w:p w14:paraId="0063DB2C">
            <w:pPr>
              <w:jc w:val="left"/>
              <w:rPr>
                <w:sz w:val="15"/>
                <w:szCs w:val="15"/>
              </w:rPr>
            </w:pPr>
            <w:r>
              <w:rPr>
                <w:b w:val="0"/>
                <w:sz w:val="15"/>
                <w:szCs w:val="15"/>
              </w:rPr>
              <w:t>Approx. 3 tons</w:t>
            </w:r>
          </w:p>
        </w:tc>
      </w:tr>
    </w:tbl>
    <w:p w14:paraId="49FAA16D">
      <w:pPr>
        <w:spacing w:after="40"/>
        <w:rPr>
          <w:sz w:val="15"/>
          <w:szCs w:val="15"/>
        </w:rPr>
      </w:pPr>
    </w:p>
    <w:p w14:paraId="44975B97">
      <w:pPr>
        <w:pStyle w:val="4"/>
        <w:rPr>
          <w:sz w:val="15"/>
          <w:szCs w:val="15"/>
        </w:rPr>
      </w:pPr>
      <w:r>
        <w:rPr>
          <w:color w:val="1F4E79"/>
          <w:sz w:val="15"/>
          <w:szCs w:val="15"/>
        </w:rPr>
        <w:t>Functional Module Description</w:t>
      </w:r>
    </w:p>
    <w:tbl>
      <w:tblPr>
        <w:tblStyle w:val="32"/>
        <w:tblW w:w="0" w:type="auto"/>
        <w:jc w:val="center"/>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Layout w:type="autofit"/>
        <w:tblCellMar>
          <w:top w:w="0" w:type="dxa"/>
          <w:left w:w="108" w:type="dxa"/>
          <w:bottom w:w="0" w:type="dxa"/>
          <w:right w:w="108" w:type="dxa"/>
        </w:tblCellMar>
      </w:tblPr>
      <w:tblGrid>
        <w:gridCol w:w="2880"/>
        <w:gridCol w:w="6984"/>
      </w:tblGrid>
      <w:tr w14:paraId="7E0E88F3">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tblHeader/>
          <w:jc w:val="center"/>
        </w:trPr>
        <w:tc>
          <w:tcPr>
            <w:tcW w:w="2880" w:type="dxa"/>
            <w:shd w:val="clear" w:color="auto" w:fill="1F4E79"/>
            <w:vAlign w:val="center"/>
          </w:tcPr>
          <w:p w14:paraId="377734E0">
            <w:pPr>
              <w:jc w:val="left"/>
              <w:rPr>
                <w:sz w:val="15"/>
                <w:szCs w:val="15"/>
              </w:rPr>
            </w:pPr>
            <w:r>
              <w:rPr>
                <w:b/>
                <w:color w:val="FFFFFF"/>
                <w:sz w:val="15"/>
                <w:szCs w:val="15"/>
              </w:rPr>
              <w:t>Module</w:t>
            </w:r>
          </w:p>
        </w:tc>
        <w:tc>
          <w:tcPr>
            <w:tcW w:w="6984" w:type="dxa"/>
            <w:shd w:val="clear" w:color="auto" w:fill="1F4E79"/>
            <w:vAlign w:val="center"/>
          </w:tcPr>
          <w:p w14:paraId="2BB9DA10">
            <w:pPr>
              <w:jc w:val="left"/>
              <w:rPr>
                <w:sz w:val="15"/>
                <w:szCs w:val="15"/>
              </w:rPr>
            </w:pPr>
            <w:r>
              <w:rPr>
                <w:b/>
                <w:color w:val="FFFFFF"/>
                <w:sz w:val="15"/>
                <w:szCs w:val="15"/>
              </w:rPr>
              <w:t>Description</w:t>
            </w:r>
          </w:p>
        </w:tc>
      </w:tr>
      <w:tr w14:paraId="0273B65D">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2880" w:type="dxa"/>
            <w:shd w:val="clear" w:color="auto" w:fill="EAF2F8"/>
            <w:vAlign w:val="center"/>
          </w:tcPr>
          <w:p w14:paraId="281EAE76">
            <w:pPr>
              <w:jc w:val="left"/>
              <w:rPr>
                <w:sz w:val="15"/>
                <w:szCs w:val="15"/>
              </w:rPr>
            </w:pPr>
            <w:r>
              <w:rPr>
                <w:b/>
                <w:sz w:val="15"/>
                <w:szCs w:val="15"/>
              </w:rPr>
              <w:t>Station Feeding System</w:t>
            </w:r>
          </w:p>
        </w:tc>
        <w:tc>
          <w:tcPr>
            <w:tcW w:w="6984" w:type="dxa"/>
            <w:vAlign w:val="center"/>
          </w:tcPr>
          <w:p w14:paraId="7E8A0D9B">
            <w:pPr>
              <w:jc w:val="left"/>
              <w:rPr>
                <w:sz w:val="15"/>
                <w:szCs w:val="15"/>
              </w:rPr>
            </w:pPr>
            <w:r>
              <w:rPr>
                <w:b w:val="0"/>
                <w:sz w:val="15"/>
                <w:szCs w:val="15"/>
              </w:rPr>
              <w:t>Independent stainless-steel carrier station design with follow-up guide rail. The structure is convenient for changeover and maintenance and supports efficient connection with front-end feeding equipment.</w:t>
            </w:r>
          </w:p>
        </w:tc>
      </w:tr>
      <w:tr w14:paraId="6E8B9533">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2880" w:type="dxa"/>
            <w:shd w:val="clear" w:color="auto" w:fill="EAF2F8"/>
            <w:vAlign w:val="center"/>
          </w:tcPr>
          <w:p w14:paraId="3A295E93">
            <w:pPr>
              <w:jc w:val="left"/>
              <w:rPr>
                <w:sz w:val="15"/>
                <w:szCs w:val="15"/>
              </w:rPr>
            </w:pPr>
            <w:r>
              <w:rPr>
                <w:b/>
                <w:sz w:val="15"/>
                <w:szCs w:val="15"/>
              </w:rPr>
              <w:t>Servo Carton Opening System</w:t>
            </w:r>
          </w:p>
        </w:tc>
        <w:tc>
          <w:tcPr>
            <w:tcW w:w="6984" w:type="dxa"/>
            <w:vAlign w:val="center"/>
          </w:tcPr>
          <w:p w14:paraId="20D4C3C5">
            <w:pPr>
              <w:jc w:val="left"/>
              <w:rPr>
                <w:sz w:val="15"/>
                <w:szCs w:val="15"/>
              </w:rPr>
            </w:pPr>
            <w:r>
              <w:rPr>
                <w:b w:val="0"/>
                <w:sz w:val="15"/>
                <w:szCs w:val="15"/>
              </w:rPr>
              <w:t>Multi-suction-head servo opening mechanism. During carton opening, the carton is pre-formed to support accurate carton shaping before product loading.</w:t>
            </w:r>
          </w:p>
        </w:tc>
      </w:tr>
      <w:tr w14:paraId="1EEF7398">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PrEx>
        <w:trPr>
          <w:jc w:val="center"/>
        </w:trPr>
        <w:tc>
          <w:tcPr>
            <w:tcW w:w="2880" w:type="dxa"/>
            <w:shd w:val="clear" w:color="auto" w:fill="EAF2F8"/>
            <w:vAlign w:val="center"/>
          </w:tcPr>
          <w:p w14:paraId="32B7A5AF">
            <w:pPr>
              <w:jc w:val="left"/>
              <w:rPr>
                <w:sz w:val="15"/>
                <w:szCs w:val="15"/>
              </w:rPr>
            </w:pPr>
            <w:r>
              <w:rPr>
                <w:b/>
                <w:sz w:val="15"/>
                <w:szCs w:val="15"/>
              </w:rPr>
              <w:t>Detection Control System</w:t>
            </w:r>
          </w:p>
        </w:tc>
        <w:tc>
          <w:tcPr>
            <w:tcW w:w="6984" w:type="dxa"/>
            <w:vAlign w:val="center"/>
          </w:tcPr>
          <w:p w14:paraId="091B4392">
            <w:pPr>
              <w:jc w:val="left"/>
              <w:rPr>
                <w:sz w:val="15"/>
                <w:szCs w:val="15"/>
              </w:rPr>
            </w:pPr>
            <w:r>
              <w:rPr>
                <w:b w:val="0"/>
                <w:sz w:val="15"/>
                <w:szCs w:val="15"/>
              </w:rPr>
              <w:t>Product photoelectric sensor detects material presence; carton opening sensor detects carton availability; carton magazine sensor alarms when cartons are insufficient.</w:t>
            </w:r>
          </w:p>
        </w:tc>
      </w:tr>
      <w:tr w14:paraId="21757B98">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2880" w:type="dxa"/>
            <w:shd w:val="clear" w:color="auto" w:fill="EAF2F8"/>
            <w:vAlign w:val="center"/>
          </w:tcPr>
          <w:p w14:paraId="686AC6CA">
            <w:pPr>
              <w:jc w:val="left"/>
              <w:rPr>
                <w:sz w:val="15"/>
                <w:szCs w:val="15"/>
              </w:rPr>
            </w:pPr>
            <w:r>
              <w:rPr>
                <w:b/>
                <w:sz w:val="15"/>
                <w:szCs w:val="15"/>
              </w:rPr>
              <w:t>Product Pushing and Cartoning System</w:t>
            </w:r>
          </w:p>
        </w:tc>
        <w:tc>
          <w:tcPr>
            <w:tcW w:w="6984" w:type="dxa"/>
            <w:vAlign w:val="center"/>
          </w:tcPr>
          <w:p w14:paraId="07E063F7">
            <w:pPr>
              <w:jc w:val="left"/>
              <w:rPr>
                <w:sz w:val="15"/>
                <w:szCs w:val="15"/>
              </w:rPr>
            </w:pPr>
            <w:r>
              <w:rPr>
                <w:b w:val="0"/>
                <w:sz w:val="15"/>
                <w:szCs w:val="15"/>
              </w:rPr>
              <w:t>Multi-pusher slow continuous feeding helps products enter the carton smoothly. Oil-nylon push heads are used to reduce direct product contact damage. A rotary pressing mechanism above the material plate supports controlled insertion.</w:t>
            </w:r>
          </w:p>
        </w:tc>
      </w:tr>
      <w:tr w14:paraId="36B42D39">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2880" w:type="dxa"/>
            <w:shd w:val="clear" w:color="auto" w:fill="EAF2F8"/>
            <w:vAlign w:val="center"/>
          </w:tcPr>
          <w:p w14:paraId="14238F56">
            <w:pPr>
              <w:jc w:val="left"/>
              <w:rPr>
                <w:sz w:val="15"/>
                <w:szCs w:val="15"/>
              </w:rPr>
            </w:pPr>
            <w:r>
              <w:rPr>
                <w:b/>
                <w:sz w:val="15"/>
                <w:szCs w:val="15"/>
              </w:rPr>
              <w:t>Ear Closing System</w:t>
            </w:r>
          </w:p>
        </w:tc>
        <w:tc>
          <w:tcPr>
            <w:tcW w:w="6984" w:type="dxa"/>
            <w:vAlign w:val="center"/>
          </w:tcPr>
          <w:p w14:paraId="6CF4D4DB">
            <w:pPr>
              <w:jc w:val="left"/>
              <w:rPr>
                <w:sz w:val="15"/>
                <w:szCs w:val="15"/>
              </w:rPr>
            </w:pPr>
            <w:r>
              <w:rPr>
                <w:b w:val="0"/>
                <w:sz w:val="15"/>
                <w:szCs w:val="15"/>
              </w:rPr>
              <w:t>Servo-controlled ear closing makes the closing speed and movement easier to adjust. Electronic cam and main shaft coupling help coordinate the closing action with the machine cycle.</w:t>
            </w:r>
          </w:p>
        </w:tc>
      </w:tr>
      <w:tr w14:paraId="177CFB2E">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2880" w:type="dxa"/>
            <w:shd w:val="clear" w:color="auto" w:fill="EAF2F8"/>
            <w:vAlign w:val="center"/>
          </w:tcPr>
          <w:p w14:paraId="23238903">
            <w:pPr>
              <w:jc w:val="left"/>
              <w:rPr>
                <w:sz w:val="15"/>
                <w:szCs w:val="15"/>
              </w:rPr>
            </w:pPr>
            <w:r>
              <w:rPr>
                <w:b/>
                <w:sz w:val="15"/>
                <w:szCs w:val="15"/>
              </w:rPr>
              <w:t>Carton Sealing System</w:t>
            </w:r>
          </w:p>
        </w:tc>
        <w:tc>
          <w:tcPr>
            <w:tcW w:w="6984" w:type="dxa"/>
            <w:vAlign w:val="center"/>
          </w:tcPr>
          <w:p w14:paraId="63E12B66">
            <w:pPr>
              <w:jc w:val="left"/>
              <w:rPr>
                <w:sz w:val="15"/>
                <w:szCs w:val="15"/>
              </w:rPr>
            </w:pPr>
            <w:r>
              <w:rPr>
                <w:b w:val="0"/>
                <w:sz w:val="15"/>
                <w:szCs w:val="15"/>
              </w:rPr>
              <w:t>Optional glue sealing, tuck-in sealing or lock-bottom sealing mechanisms can be selected. Following-type sealing keeps the closing action synchronized with carton movement.</w:t>
            </w:r>
          </w:p>
        </w:tc>
      </w:tr>
      <w:tr w14:paraId="49FC65D9">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PrEx>
        <w:trPr>
          <w:jc w:val="center"/>
        </w:trPr>
        <w:tc>
          <w:tcPr>
            <w:tcW w:w="2880" w:type="dxa"/>
            <w:shd w:val="clear" w:color="auto" w:fill="EAF2F8"/>
            <w:vAlign w:val="center"/>
          </w:tcPr>
          <w:p w14:paraId="5EA3BA2E">
            <w:pPr>
              <w:jc w:val="left"/>
              <w:rPr>
                <w:sz w:val="15"/>
                <w:szCs w:val="15"/>
              </w:rPr>
            </w:pPr>
            <w:r>
              <w:rPr>
                <w:b/>
                <w:sz w:val="15"/>
                <w:szCs w:val="15"/>
              </w:rPr>
              <w:t>Safety Guarding</w:t>
            </w:r>
          </w:p>
        </w:tc>
        <w:tc>
          <w:tcPr>
            <w:tcW w:w="6984" w:type="dxa"/>
            <w:vAlign w:val="center"/>
          </w:tcPr>
          <w:p w14:paraId="58510240">
            <w:pPr>
              <w:jc w:val="left"/>
              <w:rPr>
                <w:sz w:val="15"/>
                <w:szCs w:val="15"/>
              </w:rPr>
            </w:pPr>
            <w:r>
              <w:rPr>
                <w:b w:val="0"/>
                <w:sz w:val="15"/>
                <w:szCs w:val="15"/>
              </w:rPr>
              <w:t>The machine includes automatic interlock protection, fault query, alarms, output counting, manual/automatic operation and protective covers. Door threshold alarm, missing-carton protection and air pressure alarm stop the machine when abnormal conditions occur.</w:t>
            </w:r>
          </w:p>
        </w:tc>
      </w:tr>
    </w:tbl>
    <w:p w14:paraId="6C8B5FD8">
      <w:pPr>
        <w:pStyle w:val="4"/>
        <w:rPr>
          <w:sz w:val="15"/>
          <w:szCs w:val="15"/>
        </w:rPr>
      </w:pPr>
      <w:r>
        <w:rPr>
          <w:color w:val="1F4E79"/>
          <w:sz w:val="15"/>
          <w:szCs w:val="15"/>
        </w:rPr>
        <w:t>Reference Module Images</w:t>
      </w:r>
    </w:p>
    <w:tbl>
      <w:tblPr>
        <w:tblStyle w:val="32"/>
        <w:tblW w:w="0" w:type="auto"/>
        <w:jc w:val="center"/>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autofit"/>
        <w:tblCellMar>
          <w:top w:w="0" w:type="dxa"/>
          <w:left w:w="108" w:type="dxa"/>
          <w:bottom w:w="0" w:type="dxa"/>
          <w:right w:w="108" w:type="dxa"/>
        </w:tblCellMar>
      </w:tblPr>
      <w:tblGrid>
        <w:gridCol w:w="5184"/>
        <w:gridCol w:w="5184"/>
      </w:tblGrid>
      <w:tr w14:paraId="336CBBEB">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jc w:val="center"/>
        </w:trPr>
        <w:tc>
          <w:tcPr>
            <w:tcW w:w="5184" w:type="dxa"/>
          </w:tcPr>
          <w:p w14:paraId="6364706E">
            <w:pPr>
              <w:jc w:val="center"/>
              <w:rPr>
                <w:sz w:val="15"/>
                <w:szCs w:val="15"/>
              </w:rPr>
            </w:pPr>
            <w:r>
              <w:rPr>
                <w:sz w:val="15"/>
                <w:szCs w:val="15"/>
              </w:rPr>
              <w:drawing>
                <wp:inline distT="0" distB="0" distL="114300" distR="114300">
                  <wp:extent cx="2743200" cy="1270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9"/>
                          <a:stretch>
                            <a:fillRect/>
                          </a:stretch>
                        </pic:blipFill>
                        <pic:spPr>
                          <a:xfrm>
                            <a:off x="0" y="0"/>
                            <a:ext cx="2743200" cy="1270234"/>
                          </a:xfrm>
                          <a:prstGeom prst="rect">
                            <a:avLst/>
                          </a:prstGeom>
                        </pic:spPr>
                      </pic:pic>
                    </a:graphicData>
                  </a:graphic>
                </wp:inline>
              </w:drawing>
            </w:r>
          </w:p>
          <w:p w14:paraId="6F52ACB7">
            <w:pPr>
              <w:jc w:val="center"/>
              <w:rPr>
                <w:sz w:val="15"/>
                <w:szCs w:val="15"/>
              </w:rPr>
            </w:pPr>
            <w:r>
              <w:rPr>
                <w:color w:val="595959"/>
                <w:sz w:val="15"/>
                <w:szCs w:val="15"/>
              </w:rPr>
              <w:t>Station Feeding</w:t>
            </w:r>
          </w:p>
        </w:tc>
        <w:tc>
          <w:tcPr>
            <w:tcW w:w="5184" w:type="dxa"/>
          </w:tcPr>
          <w:p w14:paraId="775FA551">
            <w:pPr>
              <w:jc w:val="center"/>
              <w:rPr>
                <w:sz w:val="15"/>
                <w:szCs w:val="15"/>
              </w:rPr>
            </w:pPr>
            <w:r>
              <w:rPr>
                <w:sz w:val="15"/>
                <w:szCs w:val="15"/>
              </w:rPr>
              <w:drawing>
                <wp:inline distT="0" distB="0" distL="114300" distR="114300">
                  <wp:extent cx="2743200" cy="1982470"/>
                  <wp:effectExtent l="0" t="0" r="0" b="1143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0"/>
                          <a:stretch>
                            <a:fillRect/>
                          </a:stretch>
                        </pic:blipFill>
                        <pic:spPr>
                          <a:xfrm>
                            <a:off x="0" y="0"/>
                            <a:ext cx="2743200" cy="1982814"/>
                          </a:xfrm>
                          <a:prstGeom prst="rect">
                            <a:avLst/>
                          </a:prstGeom>
                        </pic:spPr>
                      </pic:pic>
                    </a:graphicData>
                  </a:graphic>
                </wp:inline>
              </w:drawing>
            </w:r>
          </w:p>
          <w:p w14:paraId="3081E796">
            <w:pPr>
              <w:jc w:val="center"/>
              <w:rPr>
                <w:sz w:val="15"/>
                <w:szCs w:val="15"/>
              </w:rPr>
            </w:pPr>
            <w:r>
              <w:rPr>
                <w:color w:val="595959"/>
                <w:sz w:val="15"/>
                <w:szCs w:val="15"/>
              </w:rPr>
              <w:t>Servo Carton Opening</w:t>
            </w:r>
          </w:p>
        </w:tc>
      </w:tr>
      <w:tr w14:paraId="78E29835">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CellMar>
            <w:top w:w="0" w:type="dxa"/>
            <w:left w:w="108" w:type="dxa"/>
            <w:bottom w:w="0" w:type="dxa"/>
            <w:right w:w="108" w:type="dxa"/>
          </w:tblCellMar>
        </w:tblPrEx>
        <w:trPr>
          <w:jc w:val="center"/>
        </w:trPr>
        <w:tc>
          <w:tcPr>
            <w:tcW w:w="5184" w:type="dxa"/>
          </w:tcPr>
          <w:p w14:paraId="4E4EFE19">
            <w:pPr>
              <w:jc w:val="center"/>
              <w:rPr>
                <w:sz w:val="15"/>
                <w:szCs w:val="15"/>
              </w:rPr>
            </w:pPr>
            <w:r>
              <w:rPr>
                <w:sz w:val="15"/>
                <w:szCs w:val="15"/>
              </w:rPr>
              <w:drawing>
                <wp:inline distT="0" distB="0" distL="114300" distR="114300">
                  <wp:extent cx="2743200" cy="1792605"/>
                  <wp:effectExtent l="0" t="0" r="0" b="1079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11"/>
                          <a:stretch>
                            <a:fillRect/>
                          </a:stretch>
                        </pic:blipFill>
                        <pic:spPr>
                          <a:xfrm>
                            <a:off x="0" y="0"/>
                            <a:ext cx="2743200" cy="1792717"/>
                          </a:xfrm>
                          <a:prstGeom prst="rect">
                            <a:avLst/>
                          </a:prstGeom>
                        </pic:spPr>
                      </pic:pic>
                    </a:graphicData>
                  </a:graphic>
                </wp:inline>
              </w:drawing>
            </w:r>
          </w:p>
          <w:p w14:paraId="64E8AD8B">
            <w:pPr>
              <w:jc w:val="center"/>
              <w:rPr>
                <w:sz w:val="15"/>
                <w:szCs w:val="15"/>
              </w:rPr>
            </w:pPr>
            <w:r>
              <w:rPr>
                <w:color w:val="595959"/>
                <w:sz w:val="15"/>
                <w:szCs w:val="15"/>
              </w:rPr>
              <w:t>Product Pushing</w:t>
            </w:r>
          </w:p>
        </w:tc>
        <w:tc>
          <w:tcPr>
            <w:tcW w:w="5184" w:type="dxa"/>
          </w:tcPr>
          <w:p w14:paraId="4262A4A9">
            <w:pPr>
              <w:jc w:val="center"/>
              <w:rPr>
                <w:sz w:val="15"/>
                <w:szCs w:val="15"/>
              </w:rPr>
            </w:pPr>
            <w:r>
              <w:rPr>
                <w:sz w:val="15"/>
                <w:szCs w:val="15"/>
              </w:rPr>
              <w:drawing>
                <wp:inline distT="0" distB="0" distL="114300" distR="114300">
                  <wp:extent cx="2743200" cy="153289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12"/>
                          <a:stretch>
                            <a:fillRect/>
                          </a:stretch>
                        </pic:blipFill>
                        <pic:spPr>
                          <a:xfrm>
                            <a:off x="0" y="0"/>
                            <a:ext cx="2743200" cy="1533151"/>
                          </a:xfrm>
                          <a:prstGeom prst="rect">
                            <a:avLst/>
                          </a:prstGeom>
                        </pic:spPr>
                      </pic:pic>
                    </a:graphicData>
                  </a:graphic>
                </wp:inline>
              </w:drawing>
            </w:r>
          </w:p>
          <w:p w14:paraId="282006A2">
            <w:pPr>
              <w:jc w:val="center"/>
              <w:rPr>
                <w:sz w:val="15"/>
                <w:szCs w:val="15"/>
              </w:rPr>
            </w:pPr>
            <w:r>
              <w:rPr>
                <w:color w:val="595959"/>
                <w:sz w:val="15"/>
                <w:szCs w:val="15"/>
              </w:rPr>
              <w:t>Carton Sealing Area</w:t>
            </w:r>
          </w:p>
        </w:tc>
      </w:tr>
    </w:tbl>
    <w:p w14:paraId="3CF0632B">
      <w:pPr>
        <w:pStyle w:val="4"/>
        <w:rPr>
          <w:sz w:val="15"/>
          <w:szCs w:val="15"/>
        </w:rPr>
      </w:pPr>
      <w:r>
        <w:rPr>
          <w:color w:val="1F4E79"/>
          <w:sz w:val="15"/>
          <w:szCs w:val="15"/>
        </w:rPr>
        <w:t>Application Range</w:t>
      </w:r>
    </w:p>
    <w:p w14:paraId="52768237">
      <w:pPr>
        <w:spacing w:after="120" w:line="259" w:lineRule="auto"/>
        <w:rPr>
          <w:sz w:val="15"/>
          <w:szCs w:val="15"/>
        </w:rPr>
      </w:pPr>
      <w:r>
        <w:rPr>
          <w:sz w:val="15"/>
          <w:szCs w:val="15"/>
        </w:rPr>
        <w:t>The machine can be used for carton</w:t>
      </w:r>
      <w:bookmarkStart w:id="0" w:name="_GoBack"/>
      <w:bookmarkEnd w:id="0"/>
      <w:r>
        <w:rPr>
          <w:sz w:val="15"/>
          <w:szCs w:val="15"/>
        </w:rPr>
        <w:t xml:space="preserve"> packaging in pharmaceutical, medical, food, daily chemical, lighting and confectionery production. Typical products include blister cards, bottles, soft tubes, sachets and soft double-aluminum packs. It can be integrated with upstream product feeding, leaflet handling, coding, rejection, checkweighing, case packing or downstream conveying systems according to the production line layout.</w:t>
      </w:r>
    </w:p>
    <w:p w14:paraId="0ED91565">
      <w:pPr>
        <w:pStyle w:val="4"/>
        <w:rPr>
          <w:sz w:val="15"/>
          <w:szCs w:val="15"/>
        </w:rPr>
      </w:pPr>
      <w:r>
        <w:rPr>
          <w:color w:val="1F4E79"/>
          <w:sz w:val="15"/>
          <w:szCs w:val="15"/>
        </w:rPr>
        <w:t>Electrical Configuration Reference</w:t>
      </w:r>
    </w:p>
    <w:tbl>
      <w:tblPr>
        <w:tblStyle w:val="32"/>
        <w:tblW w:w="0" w:type="auto"/>
        <w:jc w:val="center"/>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Layout w:type="autofit"/>
        <w:tblCellMar>
          <w:top w:w="0" w:type="dxa"/>
          <w:left w:w="108" w:type="dxa"/>
          <w:bottom w:w="0" w:type="dxa"/>
          <w:right w:w="108" w:type="dxa"/>
        </w:tblCellMar>
      </w:tblPr>
      <w:tblGrid>
        <w:gridCol w:w="792"/>
        <w:gridCol w:w="4320"/>
        <w:gridCol w:w="4752"/>
      </w:tblGrid>
      <w:tr w14:paraId="458DCEDD">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tblHeader/>
          <w:jc w:val="center"/>
        </w:trPr>
        <w:tc>
          <w:tcPr>
            <w:tcW w:w="792" w:type="dxa"/>
            <w:shd w:val="clear" w:color="auto" w:fill="1F4E79"/>
            <w:vAlign w:val="center"/>
          </w:tcPr>
          <w:p w14:paraId="43E94AF3">
            <w:pPr>
              <w:jc w:val="left"/>
              <w:rPr>
                <w:sz w:val="15"/>
                <w:szCs w:val="15"/>
              </w:rPr>
            </w:pPr>
            <w:r>
              <w:rPr>
                <w:b/>
                <w:color w:val="FFFFFF"/>
                <w:sz w:val="15"/>
                <w:szCs w:val="15"/>
              </w:rPr>
              <w:t>No.</w:t>
            </w:r>
          </w:p>
        </w:tc>
        <w:tc>
          <w:tcPr>
            <w:tcW w:w="4320" w:type="dxa"/>
            <w:shd w:val="clear" w:color="auto" w:fill="1F4E79"/>
            <w:vAlign w:val="center"/>
          </w:tcPr>
          <w:p w14:paraId="61047DA5">
            <w:pPr>
              <w:jc w:val="left"/>
              <w:rPr>
                <w:sz w:val="15"/>
                <w:szCs w:val="15"/>
              </w:rPr>
            </w:pPr>
            <w:r>
              <w:rPr>
                <w:b/>
                <w:color w:val="FFFFFF"/>
                <w:sz w:val="15"/>
                <w:szCs w:val="15"/>
              </w:rPr>
              <w:t>Component</w:t>
            </w:r>
          </w:p>
        </w:tc>
        <w:tc>
          <w:tcPr>
            <w:tcW w:w="4752" w:type="dxa"/>
            <w:shd w:val="clear" w:color="auto" w:fill="1F4E79"/>
            <w:vAlign w:val="center"/>
          </w:tcPr>
          <w:p w14:paraId="3D5CEC6D">
            <w:pPr>
              <w:jc w:val="left"/>
              <w:rPr>
                <w:sz w:val="15"/>
                <w:szCs w:val="15"/>
              </w:rPr>
            </w:pPr>
            <w:r>
              <w:rPr>
                <w:b/>
                <w:color w:val="FFFFFF"/>
                <w:sz w:val="15"/>
                <w:szCs w:val="15"/>
              </w:rPr>
              <w:t>Brand / Reference</w:t>
            </w:r>
          </w:p>
        </w:tc>
      </w:tr>
      <w:tr w14:paraId="42D0A5D3">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792" w:type="dxa"/>
            <w:vAlign w:val="center"/>
          </w:tcPr>
          <w:p w14:paraId="3F41436D">
            <w:pPr>
              <w:jc w:val="left"/>
              <w:rPr>
                <w:sz w:val="15"/>
                <w:szCs w:val="15"/>
              </w:rPr>
            </w:pPr>
            <w:r>
              <w:rPr>
                <w:b w:val="0"/>
                <w:sz w:val="15"/>
                <w:szCs w:val="15"/>
              </w:rPr>
              <w:t>1</w:t>
            </w:r>
          </w:p>
        </w:tc>
        <w:tc>
          <w:tcPr>
            <w:tcW w:w="4320" w:type="dxa"/>
            <w:vAlign w:val="center"/>
          </w:tcPr>
          <w:p w14:paraId="2A207314">
            <w:pPr>
              <w:jc w:val="left"/>
              <w:rPr>
                <w:sz w:val="15"/>
                <w:szCs w:val="15"/>
              </w:rPr>
            </w:pPr>
            <w:r>
              <w:rPr>
                <w:b w:val="0"/>
                <w:sz w:val="15"/>
                <w:szCs w:val="15"/>
              </w:rPr>
              <w:t>Breaker</w:t>
            </w:r>
          </w:p>
        </w:tc>
        <w:tc>
          <w:tcPr>
            <w:tcW w:w="4752" w:type="dxa"/>
            <w:vAlign w:val="center"/>
          </w:tcPr>
          <w:p w14:paraId="1B662BD4">
            <w:pPr>
              <w:jc w:val="left"/>
              <w:rPr>
                <w:sz w:val="15"/>
                <w:szCs w:val="15"/>
              </w:rPr>
            </w:pPr>
            <w:r>
              <w:rPr>
                <w:b w:val="0"/>
                <w:sz w:val="15"/>
                <w:szCs w:val="15"/>
              </w:rPr>
              <w:t>Schneider</w:t>
            </w:r>
          </w:p>
        </w:tc>
      </w:tr>
      <w:tr w14:paraId="7C67BB60">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792" w:type="dxa"/>
            <w:vAlign w:val="center"/>
          </w:tcPr>
          <w:p w14:paraId="75CF58EA">
            <w:pPr>
              <w:jc w:val="left"/>
              <w:rPr>
                <w:sz w:val="15"/>
                <w:szCs w:val="15"/>
              </w:rPr>
            </w:pPr>
            <w:r>
              <w:rPr>
                <w:b w:val="0"/>
                <w:sz w:val="15"/>
                <w:szCs w:val="15"/>
              </w:rPr>
              <w:t>2</w:t>
            </w:r>
          </w:p>
        </w:tc>
        <w:tc>
          <w:tcPr>
            <w:tcW w:w="4320" w:type="dxa"/>
            <w:vAlign w:val="center"/>
          </w:tcPr>
          <w:p w14:paraId="3834DBBB">
            <w:pPr>
              <w:jc w:val="left"/>
              <w:rPr>
                <w:sz w:val="15"/>
                <w:szCs w:val="15"/>
              </w:rPr>
            </w:pPr>
            <w:r>
              <w:rPr>
                <w:b w:val="0"/>
                <w:sz w:val="15"/>
                <w:szCs w:val="15"/>
              </w:rPr>
              <w:t>Button</w:t>
            </w:r>
          </w:p>
        </w:tc>
        <w:tc>
          <w:tcPr>
            <w:tcW w:w="4752" w:type="dxa"/>
            <w:vAlign w:val="center"/>
          </w:tcPr>
          <w:p w14:paraId="3C4ECA12">
            <w:pPr>
              <w:jc w:val="left"/>
              <w:rPr>
                <w:sz w:val="15"/>
                <w:szCs w:val="15"/>
              </w:rPr>
            </w:pPr>
            <w:r>
              <w:rPr>
                <w:b w:val="0"/>
                <w:sz w:val="15"/>
                <w:szCs w:val="15"/>
              </w:rPr>
              <w:t>Schneider</w:t>
            </w:r>
          </w:p>
        </w:tc>
      </w:tr>
      <w:tr w14:paraId="051EA4EB">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792" w:type="dxa"/>
            <w:vAlign w:val="center"/>
          </w:tcPr>
          <w:p w14:paraId="60C9C687">
            <w:pPr>
              <w:jc w:val="left"/>
              <w:rPr>
                <w:sz w:val="15"/>
                <w:szCs w:val="15"/>
              </w:rPr>
            </w:pPr>
            <w:r>
              <w:rPr>
                <w:b w:val="0"/>
                <w:sz w:val="15"/>
                <w:szCs w:val="15"/>
              </w:rPr>
              <w:t>3</w:t>
            </w:r>
          </w:p>
        </w:tc>
        <w:tc>
          <w:tcPr>
            <w:tcW w:w="4320" w:type="dxa"/>
            <w:vAlign w:val="center"/>
          </w:tcPr>
          <w:p w14:paraId="15C85B12">
            <w:pPr>
              <w:jc w:val="left"/>
              <w:rPr>
                <w:sz w:val="15"/>
                <w:szCs w:val="15"/>
              </w:rPr>
            </w:pPr>
            <w:r>
              <w:rPr>
                <w:b w:val="0"/>
                <w:sz w:val="15"/>
                <w:szCs w:val="15"/>
              </w:rPr>
              <w:t>AC Contactor</w:t>
            </w:r>
          </w:p>
        </w:tc>
        <w:tc>
          <w:tcPr>
            <w:tcW w:w="4752" w:type="dxa"/>
            <w:vAlign w:val="center"/>
          </w:tcPr>
          <w:p w14:paraId="0F8BBDA4">
            <w:pPr>
              <w:jc w:val="left"/>
              <w:rPr>
                <w:sz w:val="15"/>
                <w:szCs w:val="15"/>
              </w:rPr>
            </w:pPr>
            <w:r>
              <w:rPr>
                <w:b w:val="0"/>
                <w:sz w:val="15"/>
                <w:szCs w:val="15"/>
              </w:rPr>
              <w:t>Schneider</w:t>
            </w:r>
          </w:p>
        </w:tc>
      </w:tr>
      <w:tr w14:paraId="6CA313D1">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792" w:type="dxa"/>
            <w:vAlign w:val="center"/>
          </w:tcPr>
          <w:p w14:paraId="66C49989">
            <w:pPr>
              <w:jc w:val="left"/>
              <w:rPr>
                <w:sz w:val="15"/>
                <w:szCs w:val="15"/>
              </w:rPr>
            </w:pPr>
            <w:r>
              <w:rPr>
                <w:b w:val="0"/>
                <w:sz w:val="15"/>
                <w:szCs w:val="15"/>
              </w:rPr>
              <w:t>4</w:t>
            </w:r>
          </w:p>
        </w:tc>
        <w:tc>
          <w:tcPr>
            <w:tcW w:w="4320" w:type="dxa"/>
            <w:vAlign w:val="center"/>
          </w:tcPr>
          <w:p w14:paraId="1AADEC88">
            <w:pPr>
              <w:jc w:val="left"/>
              <w:rPr>
                <w:sz w:val="15"/>
                <w:szCs w:val="15"/>
              </w:rPr>
            </w:pPr>
            <w:r>
              <w:rPr>
                <w:b w:val="0"/>
                <w:sz w:val="15"/>
                <w:szCs w:val="15"/>
              </w:rPr>
              <w:t>Power Supply</w:t>
            </w:r>
          </w:p>
        </w:tc>
        <w:tc>
          <w:tcPr>
            <w:tcW w:w="4752" w:type="dxa"/>
            <w:vAlign w:val="center"/>
          </w:tcPr>
          <w:p w14:paraId="0B99AE89">
            <w:pPr>
              <w:jc w:val="left"/>
              <w:rPr>
                <w:sz w:val="15"/>
                <w:szCs w:val="15"/>
              </w:rPr>
            </w:pPr>
            <w:r>
              <w:rPr>
                <w:b w:val="0"/>
                <w:sz w:val="15"/>
                <w:szCs w:val="15"/>
              </w:rPr>
              <w:t>Schneider</w:t>
            </w:r>
          </w:p>
        </w:tc>
      </w:tr>
      <w:tr w14:paraId="66CC123E">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792" w:type="dxa"/>
            <w:vAlign w:val="center"/>
          </w:tcPr>
          <w:p w14:paraId="13631EF6">
            <w:pPr>
              <w:jc w:val="left"/>
              <w:rPr>
                <w:sz w:val="15"/>
                <w:szCs w:val="15"/>
              </w:rPr>
            </w:pPr>
            <w:r>
              <w:rPr>
                <w:b w:val="0"/>
                <w:sz w:val="15"/>
                <w:szCs w:val="15"/>
              </w:rPr>
              <w:t>5</w:t>
            </w:r>
          </w:p>
        </w:tc>
        <w:tc>
          <w:tcPr>
            <w:tcW w:w="4320" w:type="dxa"/>
            <w:vAlign w:val="center"/>
          </w:tcPr>
          <w:p w14:paraId="4ACC25AD">
            <w:pPr>
              <w:jc w:val="left"/>
              <w:rPr>
                <w:sz w:val="15"/>
                <w:szCs w:val="15"/>
              </w:rPr>
            </w:pPr>
            <w:r>
              <w:rPr>
                <w:b w:val="0"/>
                <w:sz w:val="15"/>
                <w:szCs w:val="15"/>
              </w:rPr>
              <w:t>Control Relay</w:t>
            </w:r>
          </w:p>
        </w:tc>
        <w:tc>
          <w:tcPr>
            <w:tcW w:w="4752" w:type="dxa"/>
            <w:vAlign w:val="center"/>
          </w:tcPr>
          <w:p w14:paraId="637D6875">
            <w:pPr>
              <w:jc w:val="left"/>
              <w:rPr>
                <w:sz w:val="15"/>
                <w:szCs w:val="15"/>
              </w:rPr>
            </w:pPr>
            <w:r>
              <w:rPr>
                <w:b w:val="0"/>
                <w:sz w:val="15"/>
                <w:szCs w:val="15"/>
              </w:rPr>
              <w:t>Schneider</w:t>
            </w:r>
          </w:p>
        </w:tc>
      </w:tr>
      <w:tr w14:paraId="1654229D">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792" w:type="dxa"/>
            <w:vAlign w:val="center"/>
          </w:tcPr>
          <w:p w14:paraId="38BA6060">
            <w:pPr>
              <w:jc w:val="left"/>
              <w:rPr>
                <w:sz w:val="15"/>
                <w:szCs w:val="15"/>
              </w:rPr>
            </w:pPr>
            <w:r>
              <w:rPr>
                <w:b w:val="0"/>
                <w:sz w:val="15"/>
                <w:szCs w:val="15"/>
              </w:rPr>
              <w:t>6</w:t>
            </w:r>
          </w:p>
        </w:tc>
        <w:tc>
          <w:tcPr>
            <w:tcW w:w="4320" w:type="dxa"/>
            <w:vAlign w:val="center"/>
          </w:tcPr>
          <w:p w14:paraId="77F36DED">
            <w:pPr>
              <w:jc w:val="left"/>
              <w:rPr>
                <w:sz w:val="15"/>
                <w:szCs w:val="15"/>
              </w:rPr>
            </w:pPr>
            <w:r>
              <w:rPr>
                <w:b w:val="0"/>
                <w:sz w:val="15"/>
                <w:szCs w:val="15"/>
              </w:rPr>
              <w:t>Multiple Relay</w:t>
            </w:r>
          </w:p>
        </w:tc>
        <w:tc>
          <w:tcPr>
            <w:tcW w:w="4752" w:type="dxa"/>
            <w:vAlign w:val="center"/>
          </w:tcPr>
          <w:p w14:paraId="5D6F3B4F">
            <w:pPr>
              <w:jc w:val="left"/>
              <w:rPr>
                <w:sz w:val="15"/>
                <w:szCs w:val="15"/>
              </w:rPr>
            </w:pPr>
            <w:r>
              <w:rPr>
                <w:b w:val="0"/>
                <w:sz w:val="15"/>
                <w:szCs w:val="15"/>
              </w:rPr>
              <w:t>SIPAKE / IDEC</w:t>
            </w:r>
          </w:p>
        </w:tc>
      </w:tr>
      <w:tr w14:paraId="14BAB7A0">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792" w:type="dxa"/>
            <w:vAlign w:val="center"/>
          </w:tcPr>
          <w:p w14:paraId="2EDFC7EC">
            <w:pPr>
              <w:jc w:val="left"/>
              <w:rPr>
                <w:sz w:val="15"/>
                <w:szCs w:val="15"/>
              </w:rPr>
            </w:pPr>
            <w:r>
              <w:rPr>
                <w:b w:val="0"/>
                <w:sz w:val="15"/>
                <w:szCs w:val="15"/>
              </w:rPr>
              <w:t>7</w:t>
            </w:r>
          </w:p>
        </w:tc>
        <w:tc>
          <w:tcPr>
            <w:tcW w:w="4320" w:type="dxa"/>
            <w:vAlign w:val="center"/>
          </w:tcPr>
          <w:p w14:paraId="6161BC79">
            <w:pPr>
              <w:jc w:val="left"/>
              <w:rPr>
                <w:sz w:val="15"/>
                <w:szCs w:val="15"/>
              </w:rPr>
            </w:pPr>
            <w:r>
              <w:rPr>
                <w:b w:val="0"/>
                <w:sz w:val="15"/>
                <w:szCs w:val="15"/>
              </w:rPr>
              <w:t>Solid State Relay</w:t>
            </w:r>
          </w:p>
        </w:tc>
        <w:tc>
          <w:tcPr>
            <w:tcW w:w="4752" w:type="dxa"/>
            <w:vAlign w:val="center"/>
          </w:tcPr>
          <w:p w14:paraId="54C478FD">
            <w:pPr>
              <w:jc w:val="left"/>
              <w:rPr>
                <w:sz w:val="15"/>
                <w:szCs w:val="15"/>
              </w:rPr>
            </w:pPr>
            <w:r>
              <w:rPr>
                <w:b w:val="0"/>
                <w:sz w:val="15"/>
                <w:szCs w:val="15"/>
              </w:rPr>
              <w:t>SIPAKE / LI-DE</w:t>
            </w:r>
          </w:p>
        </w:tc>
      </w:tr>
      <w:tr w14:paraId="28C15619">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792" w:type="dxa"/>
            <w:vAlign w:val="center"/>
          </w:tcPr>
          <w:p w14:paraId="0B455C27">
            <w:pPr>
              <w:jc w:val="left"/>
              <w:rPr>
                <w:sz w:val="15"/>
                <w:szCs w:val="15"/>
              </w:rPr>
            </w:pPr>
            <w:r>
              <w:rPr>
                <w:b w:val="0"/>
                <w:sz w:val="15"/>
                <w:szCs w:val="15"/>
              </w:rPr>
              <w:t>8</w:t>
            </w:r>
          </w:p>
        </w:tc>
        <w:tc>
          <w:tcPr>
            <w:tcW w:w="4320" w:type="dxa"/>
            <w:vAlign w:val="center"/>
          </w:tcPr>
          <w:p w14:paraId="0DE95318">
            <w:pPr>
              <w:jc w:val="left"/>
              <w:rPr>
                <w:sz w:val="15"/>
                <w:szCs w:val="15"/>
              </w:rPr>
            </w:pPr>
            <w:r>
              <w:rPr>
                <w:b w:val="0"/>
                <w:sz w:val="15"/>
                <w:szCs w:val="15"/>
              </w:rPr>
              <w:t>PLC</w:t>
            </w:r>
          </w:p>
        </w:tc>
        <w:tc>
          <w:tcPr>
            <w:tcW w:w="4752" w:type="dxa"/>
            <w:vAlign w:val="center"/>
          </w:tcPr>
          <w:p w14:paraId="448F3F24">
            <w:pPr>
              <w:jc w:val="left"/>
              <w:rPr>
                <w:sz w:val="15"/>
                <w:szCs w:val="15"/>
              </w:rPr>
            </w:pPr>
            <w:r>
              <w:rPr>
                <w:b w:val="0"/>
                <w:sz w:val="15"/>
                <w:szCs w:val="15"/>
              </w:rPr>
              <w:t>Inovance</w:t>
            </w:r>
          </w:p>
        </w:tc>
      </w:tr>
      <w:tr w14:paraId="145D0EBE">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792" w:type="dxa"/>
            <w:vAlign w:val="center"/>
          </w:tcPr>
          <w:p w14:paraId="1501B74D">
            <w:pPr>
              <w:jc w:val="left"/>
              <w:rPr>
                <w:sz w:val="15"/>
                <w:szCs w:val="15"/>
              </w:rPr>
            </w:pPr>
            <w:r>
              <w:rPr>
                <w:b w:val="0"/>
                <w:sz w:val="15"/>
                <w:szCs w:val="15"/>
              </w:rPr>
              <w:t>9</w:t>
            </w:r>
          </w:p>
        </w:tc>
        <w:tc>
          <w:tcPr>
            <w:tcW w:w="4320" w:type="dxa"/>
            <w:vAlign w:val="center"/>
          </w:tcPr>
          <w:p w14:paraId="6F21CCCC">
            <w:pPr>
              <w:jc w:val="left"/>
              <w:rPr>
                <w:sz w:val="15"/>
                <w:szCs w:val="15"/>
              </w:rPr>
            </w:pPr>
            <w:r>
              <w:rPr>
                <w:b w:val="0"/>
                <w:sz w:val="15"/>
                <w:szCs w:val="15"/>
              </w:rPr>
              <w:t>HMI</w:t>
            </w:r>
          </w:p>
        </w:tc>
        <w:tc>
          <w:tcPr>
            <w:tcW w:w="4752" w:type="dxa"/>
            <w:vAlign w:val="center"/>
          </w:tcPr>
          <w:p w14:paraId="2D040BBB">
            <w:pPr>
              <w:jc w:val="left"/>
              <w:rPr>
                <w:sz w:val="15"/>
                <w:szCs w:val="15"/>
              </w:rPr>
            </w:pPr>
            <w:r>
              <w:rPr>
                <w:b w:val="0"/>
                <w:sz w:val="15"/>
                <w:szCs w:val="15"/>
              </w:rPr>
              <w:t>Inovance</w:t>
            </w:r>
          </w:p>
        </w:tc>
      </w:tr>
      <w:tr w14:paraId="3602B45C">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792" w:type="dxa"/>
            <w:vAlign w:val="center"/>
          </w:tcPr>
          <w:p w14:paraId="643326EA">
            <w:pPr>
              <w:jc w:val="left"/>
              <w:rPr>
                <w:sz w:val="15"/>
                <w:szCs w:val="15"/>
              </w:rPr>
            </w:pPr>
            <w:r>
              <w:rPr>
                <w:b w:val="0"/>
                <w:sz w:val="15"/>
                <w:szCs w:val="15"/>
              </w:rPr>
              <w:t>10</w:t>
            </w:r>
          </w:p>
        </w:tc>
        <w:tc>
          <w:tcPr>
            <w:tcW w:w="4320" w:type="dxa"/>
            <w:vAlign w:val="center"/>
          </w:tcPr>
          <w:p w14:paraId="6CD0DD26">
            <w:pPr>
              <w:jc w:val="left"/>
              <w:rPr>
                <w:sz w:val="15"/>
                <w:szCs w:val="15"/>
              </w:rPr>
            </w:pPr>
            <w:r>
              <w:rPr>
                <w:b w:val="0"/>
                <w:sz w:val="15"/>
                <w:szCs w:val="15"/>
              </w:rPr>
              <w:t>Servo</w:t>
            </w:r>
          </w:p>
        </w:tc>
        <w:tc>
          <w:tcPr>
            <w:tcW w:w="4752" w:type="dxa"/>
            <w:vAlign w:val="center"/>
          </w:tcPr>
          <w:p w14:paraId="0EA91A12">
            <w:pPr>
              <w:jc w:val="left"/>
              <w:rPr>
                <w:sz w:val="15"/>
                <w:szCs w:val="15"/>
              </w:rPr>
            </w:pPr>
            <w:r>
              <w:rPr>
                <w:b w:val="0"/>
                <w:sz w:val="15"/>
                <w:szCs w:val="15"/>
              </w:rPr>
              <w:t>Inovance</w:t>
            </w:r>
          </w:p>
        </w:tc>
      </w:tr>
      <w:tr w14:paraId="7BB5D25B">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792" w:type="dxa"/>
            <w:vAlign w:val="center"/>
          </w:tcPr>
          <w:p w14:paraId="43D30C42">
            <w:pPr>
              <w:jc w:val="left"/>
              <w:rPr>
                <w:sz w:val="15"/>
                <w:szCs w:val="15"/>
              </w:rPr>
            </w:pPr>
            <w:r>
              <w:rPr>
                <w:b w:val="0"/>
                <w:sz w:val="15"/>
                <w:szCs w:val="15"/>
              </w:rPr>
              <w:t>11</w:t>
            </w:r>
          </w:p>
        </w:tc>
        <w:tc>
          <w:tcPr>
            <w:tcW w:w="4320" w:type="dxa"/>
            <w:vAlign w:val="center"/>
          </w:tcPr>
          <w:p w14:paraId="0104A354">
            <w:pPr>
              <w:jc w:val="left"/>
              <w:rPr>
                <w:sz w:val="15"/>
                <w:szCs w:val="15"/>
              </w:rPr>
            </w:pPr>
            <w:r>
              <w:rPr>
                <w:b w:val="0"/>
                <w:sz w:val="15"/>
                <w:szCs w:val="15"/>
              </w:rPr>
              <w:t>Variable-frequency Drive</w:t>
            </w:r>
          </w:p>
        </w:tc>
        <w:tc>
          <w:tcPr>
            <w:tcW w:w="4752" w:type="dxa"/>
            <w:vAlign w:val="center"/>
          </w:tcPr>
          <w:p w14:paraId="5FF0F540">
            <w:pPr>
              <w:jc w:val="left"/>
              <w:rPr>
                <w:sz w:val="15"/>
                <w:szCs w:val="15"/>
              </w:rPr>
            </w:pPr>
            <w:r>
              <w:rPr>
                <w:b w:val="0"/>
                <w:sz w:val="15"/>
                <w:szCs w:val="15"/>
              </w:rPr>
              <w:t>Schneider / Inovance</w:t>
            </w:r>
          </w:p>
        </w:tc>
      </w:tr>
      <w:tr w14:paraId="1B3ADE62">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792" w:type="dxa"/>
            <w:vAlign w:val="center"/>
          </w:tcPr>
          <w:p w14:paraId="004B80EC">
            <w:pPr>
              <w:jc w:val="left"/>
              <w:rPr>
                <w:sz w:val="15"/>
                <w:szCs w:val="15"/>
              </w:rPr>
            </w:pPr>
            <w:r>
              <w:rPr>
                <w:b w:val="0"/>
                <w:sz w:val="15"/>
                <w:szCs w:val="15"/>
              </w:rPr>
              <w:t>12</w:t>
            </w:r>
          </w:p>
        </w:tc>
        <w:tc>
          <w:tcPr>
            <w:tcW w:w="4320" w:type="dxa"/>
            <w:vAlign w:val="center"/>
          </w:tcPr>
          <w:p w14:paraId="635E13B6">
            <w:pPr>
              <w:jc w:val="left"/>
              <w:rPr>
                <w:sz w:val="15"/>
                <w:szCs w:val="15"/>
              </w:rPr>
            </w:pPr>
            <w:r>
              <w:rPr>
                <w:b w:val="0"/>
                <w:sz w:val="15"/>
                <w:szCs w:val="15"/>
              </w:rPr>
              <w:t>Photoelectric Sensor</w:t>
            </w:r>
          </w:p>
        </w:tc>
        <w:tc>
          <w:tcPr>
            <w:tcW w:w="4752" w:type="dxa"/>
            <w:vAlign w:val="center"/>
          </w:tcPr>
          <w:p w14:paraId="26991384">
            <w:pPr>
              <w:jc w:val="left"/>
              <w:rPr>
                <w:sz w:val="15"/>
                <w:szCs w:val="15"/>
              </w:rPr>
            </w:pPr>
            <w:r>
              <w:rPr>
                <w:b w:val="0"/>
                <w:sz w:val="15"/>
                <w:szCs w:val="15"/>
              </w:rPr>
              <w:t>Pepperl+Fuchs / Sick</w:t>
            </w:r>
          </w:p>
        </w:tc>
      </w:tr>
      <w:tr w14:paraId="06F37BFB">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792" w:type="dxa"/>
            <w:vAlign w:val="center"/>
          </w:tcPr>
          <w:p w14:paraId="310BA6E8">
            <w:pPr>
              <w:jc w:val="left"/>
              <w:rPr>
                <w:sz w:val="15"/>
                <w:szCs w:val="15"/>
              </w:rPr>
            </w:pPr>
            <w:r>
              <w:rPr>
                <w:b w:val="0"/>
                <w:sz w:val="15"/>
                <w:szCs w:val="15"/>
              </w:rPr>
              <w:t>13</w:t>
            </w:r>
          </w:p>
        </w:tc>
        <w:tc>
          <w:tcPr>
            <w:tcW w:w="4320" w:type="dxa"/>
            <w:vAlign w:val="center"/>
          </w:tcPr>
          <w:p w14:paraId="0D463ADC">
            <w:pPr>
              <w:jc w:val="left"/>
              <w:rPr>
                <w:sz w:val="15"/>
                <w:szCs w:val="15"/>
              </w:rPr>
            </w:pPr>
            <w:r>
              <w:rPr>
                <w:b w:val="0"/>
                <w:sz w:val="15"/>
                <w:szCs w:val="15"/>
              </w:rPr>
              <w:t>Proximity Sensor</w:t>
            </w:r>
          </w:p>
        </w:tc>
        <w:tc>
          <w:tcPr>
            <w:tcW w:w="4752" w:type="dxa"/>
            <w:vAlign w:val="center"/>
          </w:tcPr>
          <w:p w14:paraId="67FFBEE4">
            <w:pPr>
              <w:jc w:val="left"/>
              <w:rPr>
                <w:sz w:val="15"/>
                <w:szCs w:val="15"/>
              </w:rPr>
            </w:pPr>
            <w:r>
              <w:rPr>
                <w:b w:val="0"/>
                <w:sz w:val="15"/>
                <w:szCs w:val="15"/>
              </w:rPr>
              <w:t>Autonics / Leuze</w:t>
            </w:r>
          </w:p>
        </w:tc>
      </w:tr>
      <w:tr w14:paraId="567F4D48">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792" w:type="dxa"/>
            <w:vAlign w:val="center"/>
          </w:tcPr>
          <w:p w14:paraId="3AB09046">
            <w:pPr>
              <w:jc w:val="left"/>
              <w:rPr>
                <w:sz w:val="15"/>
                <w:szCs w:val="15"/>
              </w:rPr>
            </w:pPr>
            <w:r>
              <w:rPr>
                <w:b w:val="0"/>
                <w:sz w:val="15"/>
                <w:szCs w:val="15"/>
              </w:rPr>
              <w:t>14</w:t>
            </w:r>
          </w:p>
        </w:tc>
        <w:tc>
          <w:tcPr>
            <w:tcW w:w="4320" w:type="dxa"/>
            <w:vAlign w:val="center"/>
          </w:tcPr>
          <w:p w14:paraId="03E5AF56">
            <w:pPr>
              <w:jc w:val="left"/>
              <w:rPr>
                <w:sz w:val="15"/>
                <w:szCs w:val="15"/>
              </w:rPr>
            </w:pPr>
            <w:r>
              <w:rPr>
                <w:b w:val="0"/>
                <w:sz w:val="15"/>
                <w:szCs w:val="15"/>
              </w:rPr>
              <w:t>Optical Fiber Amplifier</w:t>
            </w:r>
          </w:p>
        </w:tc>
        <w:tc>
          <w:tcPr>
            <w:tcW w:w="4752" w:type="dxa"/>
            <w:vAlign w:val="center"/>
          </w:tcPr>
          <w:p w14:paraId="16AAE0C8">
            <w:pPr>
              <w:jc w:val="left"/>
              <w:rPr>
                <w:sz w:val="15"/>
                <w:szCs w:val="15"/>
              </w:rPr>
            </w:pPr>
            <w:r>
              <w:rPr>
                <w:b w:val="0"/>
                <w:sz w:val="15"/>
                <w:szCs w:val="15"/>
              </w:rPr>
              <w:t>Omron / Panasonic / Leuze</w:t>
            </w:r>
          </w:p>
        </w:tc>
      </w:tr>
      <w:tr w14:paraId="239AA3FA">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792" w:type="dxa"/>
            <w:vAlign w:val="center"/>
          </w:tcPr>
          <w:p w14:paraId="50AB9322">
            <w:pPr>
              <w:jc w:val="left"/>
              <w:rPr>
                <w:sz w:val="15"/>
                <w:szCs w:val="15"/>
              </w:rPr>
            </w:pPr>
            <w:r>
              <w:rPr>
                <w:b w:val="0"/>
                <w:sz w:val="15"/>
                <w:szCs w:val="15"/>
              </w:rPr>
              <w:t>15</w:t>
            </w:r>
          </w:p>
        </w:tc>
        <w:tc>
          <w:tcPr>
            <w:tcW w:w="4320" w:type="dxa"/>
            <w:vAlign w:val="center"/>
          </w:tcPr>
          <w:p w14:paraId="62F9438F">
            <w:pPr>
              <w:jc w:val="left"/>
              <w:rPr>
                <w:sz w:val="15"/>
                <w:szCs w:val="15"/>
              </w:rPr>
            </w:pPr>
            <w:r>
              <w:rPr>
                <w:b w:val="0"/>
                <w:sz w:val="15"/>
                <w:szCs w:val="15"/>
              </w:rPr>
              <w:t>Solenoid Valve</w:t>
            </w:r>
          </w:p>
        </w:tc>
        <w:tc>
          <w:tcPr>
            <w:tcW w:w="4752" w:type="dxa"/>
            <w:vAlign w:val="center"/>
          </w:tcPr>
          <w:p w14:paraId="53A796EB">
            <w:pPr>
              <w:jc w:val="left"/>
              <w:rPr>
                <w:sz w:val="15"/>
                <w:szCs w:val="15"/>
              </w:rPr>
            </w:pPr>
            <w:r>
              <w:rPr>
                <w:b w:val="0"/>
                <w:sz w:val="15"/>
                <w:szCs w:val="15"/>
              </w:rPr>
              <w:t>Airtac</w:t>
            </w:r>
          </w:p>
        </w:tc>
      </w:tr>
      <w:tr w14:paraId="3CEA7BD8">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792" w:type="dxa"/>
            <w:vAlign w:val="center"/>
          </w:tcPr>
          <w:p w14:paraId="1D13B64D">
            <w:pPr>
              <w:jc w:val="left"/>
              <w:rPr>
                <w:sz w:val="15"/>
                <w:szCs w:val="15"/>
              </w:rPr>
            </w:pPr>
            <w:r>
              <w:rPr>
                <w:b w:val="0"/>
                <w:sz w:val="15"/>
                <w:szCs w:val="15"/>
              </w:rPr>
              <w:t>16</w:t>
            </w:r>
          </w:p>
        </w:tc>
        <w:tc>
          <w:tcPr>
            <w:tcW w:w="4320" w:type="dxa"/>
            <w:vAlign w:val="center"/>
          </w:tcPr>
          <w:p w14:paraId="4AB93761">
            <w:pPr>
              <w:jc w:val="left"/>
              <w:rPr>
                <w:sz w:val="15"/>
                <w:szCs w:val="15"/>
              </w:rPr>
            </w:pPr>
            <w:r>
              <w:rPr>
                <w:b w:val="0"/>
                <w:sz w:val="15"/>
                <w:szCs w:val="15"/>
              </w:rPr>
              <w:t>Oil-Water Separator</w:t>
            </w:r>
          </w:p>
        </w:tc>
        <w:tc>
          <w:tcPr>
            <w:tcW w:w="4752" w:type="dxa"/>
            <w:vAlign w:val="center"/>
          </w:tcPr>
          <w:p w14:paraId="752959C1">
            <w:pPr>
              <w:jc w:val="left"/>
              <w:rPr>
                <w:sz w:val="15"/>
                <w:szCs w:val="15"/>
              </w:rPr>
            </w:pPr>
            <w:r>
              <w:rPr>
                <w:b w:val="0"/>
                <w:sz w:val="15"/>
                <w:szCs w:val="15"/>
              </w:rPr>
              <w:t>Airtac</w:t>
            </w:r>
          </w:p>
        </w:tc>
      </w:tr>
      <w:tr w14:paraId="61A24F67">
        <w:tblPrEx>
          <w:tblBorders>
            <w:top w:val="single" w:color="D9E2F3" w:sz="6" w:space="0"/>
            <w:left w:val="single" w:color="D9E2F3" w:sz="6" w:space="0"/>
            <w:bottom w:val="single" w:color="D9E2F3" w:sz="6" w:space="0"/>
            <w:right w:val="single" w:color="D9E2F3" w:sz="6" w:space="0"/>
            <w:insideH w:val="single" w:color="D9E2F3" w:sz="6" w:space="0"/>
            <w:insideV w:val="single" w:color="D9E2F3" w:sz="6" w:space="0"/>
          </w:tblBorders>
          <w:tblCellMar>
            <w:top w:w="0" w:type="dxa"/>
            <w:left w:w="108" w:type="dxa"/>
            <w:bottom w:w="0" w:type="dxa"/>
            <w:right w:w="108" w:type="dxa"/>
          </w:tblCellMar>
        </w:tblPrEx>
        <w:trPr>
          <w:jc w:val="center"/>
        </w:trPr>
        <w:tc>
          <w:tcPr>
            <w:tcW w:w="792" w:type="dxa"/>
            <w:vAlign w:val="center"/>
          </w:tcPr>
          <w:p w14:paraId="7E535A0D">
            <w:pPr>
              <w:jc w:val="left"/>
              <w:rPr>
                <w:sz w:val="15"/>
                <w:szCs w:val="15"/>
              </w:rPr>
            </w:pPr>
            <w:r>
              <w:rPr>
                <w:b w:val="0"/>
                <w:sz w:val="15"/>
                <w:szCs w:val="15"/>
              </w:rPr>
              <w:t>17</w:t>
            </w:r>
          </w:p>
        </w:tc>
        <w:tc>
          <w:tcPr>
            <w:tcW w:w="4320" w:type="dxa"/>
            <w:vAlign w:val="center"/>
          </w:tcPr>
          <w:p w14:paraId="057FEB50">
            <w:pPr>
              <w:jc w:val="left"/>
              <w:rPr>
                <w:sz w:val="15"/>
                <w:szCs w:val="15"/>
              </w:rPr>
            </w:pPr>
            <w:r>
              <w:rPr>
                <w:b w:val="0"/>
                <w:sz w:val="15"/>
                <w:szCs w:val="15"/>
              </w:rPr>
              <w:t>Manual Slide Valve</w:t>
            </w:r>
          </w:p>
        </w:tc>
        <w:tc>
          <w:tcPr>
            <w:tcW w:w="4752" w:type="dxa"/>
            <w:vAlign w:val="center"/>
          </w:tcPr>
          <w:p w14:paraId="37D1871F">
            <w:pPr>
              <w:jc w:val="left"/>
              <w:rPr>
                <w:sz w:val="15"/>
                <w:szCs w:val="15"/>
              </w:rPr>
            </w:pPr>
            <w:r>
              <w:rPr>
                <w:b w:val="0"/>
                <w:sz w:val="15"/>
                <w:szCs w:val="15"/>
              </w:rPr>
              <w:t>Airtac</w:t>
            </w:r>
          </w:p>
        </w:tc>
      </w:tr>
    </w:tbl>
    <w:p w14:paraId="1C995546">
      <w:pPr>
        <w:spacing w:before="40" w:after="120"/>
        <w:rPr>
          <w:sz w:val="15"/>
          <w:szCs w:val="15"/>
        </w:rPr>
      </w:pPr>
      <w:r>
        <w:rPr>
          <w:i/>
          <w:color w:val="595959"/>
          <w:sz w:val="15"/>
          <w:szCs w:val="15"/>
        </w:rPr>
        <w:t>The final electrical configuration may be adjusted according to the actual project and procurement conditions, while maintaining an equivalent or higher configuration level.</w:t>
      </w:r>
    </w:p>
    <w:p w14:paraId="3B2F2665">
      <w:pPr>
        <w:pStyle w:val="4"/>
        <w:rPr>
          <w:sz w:val="15"/>
          <w:szCs w:val="15"/>
        </w:rPr>
      </w:pPr>
      <w:r>
        <w:rPr>
          <w:color w:val="1F4E79"/>
          <w:sz w:val="15"/>
          <w:szCs w:val="15"/>
        </w:rPr>
        <w:t>Optional Functions and Line Integration</w:t>
      </w:r>
    </w:p>
    <w:p w14:paraId="4151A87E">
      <w:pPr>
        <w:pStyle w:val="16"/>
        <w:spacing w:after="60"/>
        <w:rPr>
          <w:sz w:val="15"/>
          <w:szCs w:val="15"/>
        </w:rPr>
      </w:pPr>
      <w:r>
        <w:rPr>
          <w:sz w:val="15"/>
          <w:szCs w:val="15"/>
        </w:rPr>
        <w:t>Automatic leaflet folding and carton insertion.</w:t>
      </w:r>
    </w:p>
    <w:p w14:paraId="281C32D8">
      <w:pPr>
        <w:pStyle w:val="16"/>
        <w:spacing w:after="60"/>
        <w:rPr>
          <w:sz w:val="15"/>
          <w:szCs w:val="15"/>
        </w:rPr>
      </w:pPr>
      <w:r>
        <w:rPr>
          <w:sz w:val="15"/>
          <w:szCs w:val="15"/>
        </w:rPr>
        <w:t>Date coding, batch coding, product inspection and rejection functions.</w:t>
      </w:r>
    </w:p>
    <w:p w14:paraId="076BD018">
      <w:pPr>
        <w:pStyle w:val="16"/>
        <w:spacing w:after="60"/>
        <w:rPr>
          <w:sz w:val="15"/>
          <w:szCs w:val="15"/>
        </w:rPr>
      </w:pPr>
      <w:r>
        <w:rPr>
          <w:sz w:val="15"/>
          <w:szCs w:val="15"/>
        </w:rPr>
        <w:t>Hot-melt glue sealing system, tuck-in sealing or lock-bottom sealing based on carton design.</w:t>
      </w:r>
    </w:p>
    <w:p w14:paraId="3E25E8D8">
      <w:pPr>
        <w:pStyle w:val="16"/>
        <w:spacing w:after="60"/>
        <w:rPr>
          <w:sz w:val="15"/>
          <w:szCs w:val="15"/>
        </w:rPr>
      </w:pPr>
      <w:r>
        <w:rPr>
          <w:sz w:val="15"/>
          <w:szCs w:val="15"/>
        </w:rPr>
        <w:t>Connection with upstream product feeding systems and downstream conveying, checkweighing, case packing or palletizing equipment.</w:t>
      </w:r>
    </w:p>
    <w:p w14:paraId="618CBA1F">
      <w:pPr>
        <w:pStyle w:val="4"/>
        <w:rPr>
          <w:sz w:val="15"/>
          <w:szCs w:val="15"/>
        </w:rPr>
      </w:pPr>
      <w:r>
        <w:rPr>
          <w:color w:val="1F4E79"/>
          <w:sz w:val="15"/>
          <w:szCs w:val="15"/>
        </w:rPr>
        <w:t>Summary</w:t>
      </w:r>
    </w:p>
    <w:p w14:paraId="3B8502D1">
      <w:pPr>
        <w:spacing w:after="120" w:line="259" w:lineRule="auto"/>
        <w:rPr>
          <w:sz w:val="15"/>
          <w:szCs w:val="15"/>
        </w:rPr>
      </w:pPr>
      <w:r>
        <w:rPr>
          <w:sz w:val="15"/>
          <w:szCs w:val="15"/>
        </w:rPr>
        <w:t>The SWL-180 horizontal cartoning machine provides an integrated solution for carton opening, product insertion, ear closing and carton sealing. With PLC/HMI control, servo-driven key movements, detection interlocks and configurable closing methods, it is suitable for automatic cartoning lines that require compact structure, clear operation logic and flexible integration with front-end and back-end packaging equipment.</w:t>
      </w:r>
    </w:p>
    <w:sectPr>
      <w:headerReference r:id="rId5" w:type="default"/>
      <w:footerReference r:id="rId6" w:type="default"/>
      <w:pgSz w:w="12240" w:h="15840"/>
      <w:pgMar w:top="792" w:right="936" w:bottom="792" w:left="936"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ＭＳ 明朝">
    <w:altName w:val="宋体"/>
    <w:panose1 w:val="00000000000000000000"/>
    <w:charset w:val="86"/>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MS Gothic">
    <w:panose1 w:val="020B0609070205080204"/>
    <w:charset w:val="80"/>
    <w:family w:val="modern"/>
    <w:pitch w:val="default"/>
    <w:sig w:usb0="E00002FF" w:usb1="6AC7FDFB" w:usb2="08000012" w:usb3="00000000" w:csb0="4002009F" w:csb1="DFD70000"/>
  </w:font>
  <w:font w:name="Courier">
    <w:altName w:val="Courier New"/>
    <w:panose1 w:val="02000500000000000000"/>
    <w:charset w:val="00"/>
    <w:family w:val="auto"/>
    <w:pitch w:val="default"/>
    <w:sig w:usb0="00000000" w:usb1="00000000" w:usb2="00000000" w:usb3="00000000" w:csb0="00000001"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ourier New">
    <w:panose1 w:val="02070309020205020404"/>
    <w:charset w:val="00"/>
    <w:family w:val="auto"/>
    <w:pitch w:val="default"/>
    <w:sig w:usb0="E0002EFF" w:usb1="C0007843" w:usb2="00000009" w:usb3="00000000" w:csb0="400001FF" w:csb1="FFFF0000"/>
  </w:font>
  <w:font w:name="Yu Gothic">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918220">
    <w:pPr>
      <w:pStyle w:val="24"/>
      <w:jc w:val="center"/>
    </w:pPr>
    <w:r>
      <w:rPr>
        <w:color w:val="787878"/>
        <w:sz w:val="16"/>
      </w:rPr>
      <w:t>SWL-180 Horizontal Cartoning Machine | SieracTech</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9AE81">
    <w:pPr>
      <w:pStyle w:val="25"/>
      <w:jc w:val="left"/>
      <w:rPr>
        <w:rFonts w:hint="eastAsia" w:eastAsia="宋体"/>
        <w:lang w:val="en-US" w:eastAsia="zh-CN"/>
      </w:rPr>
    </w:pPr>
    <w:r>
      <w:drawing>
        <wp:inline distT="0" distB="0" distL="114300" distR="114300">
          <wp:extent cx="1554480" cy="113030"/>
          <wp:effectExtent l="0" t="0" r="7620" b="127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pic:cNvPicPr>
                    <a:picLocks noChangeAspect="1"/>
                  </pic:cNvPicPr>
                </pic:nvPicPr>
                <pic:blipFill>
                  <a:blip r:embed="rId1"/>
                  <a:stretch>
                    <a:fillRect/>
                  </a:stretch>
                </pic:blipFill>
                <pic:spPr>
                  <a:xfrm>
                    <a:off x="0" y="0"/>
                    <a:ext cx="1554480" cy="113370"/>
                  </a:xfrm>
                  <a:prstGeom prst="rect">
                    <a:avLst/>
                  </a:prstGeom>
                </pic:spPr>
              </pic:pic>
            </a:graphicData>
          </a:graphic>
        </wp:inline>
      </w:drawing>
    </w:r>
    <w:r>
      <w:rPr>
        <w:color w:val="595959"/>
        <w:sz w:val="18"/>
      </w:rPr>
      <w:t xml:space="preserve">   </w:t>
    </w:r>
    <w:r>
      <w:rPr>
        <w:rFonts w:hint="eastAsia" w:eastAsia="宋体"/>
        <w:color w:val="595959"/>
        <w:sz w:val="18"/>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2"/>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495C53C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qFormat="1"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Arial" w:hAnsi="Arial" w:eastAsia="Arial" w:cstheme="minorBidi"/>
      <w:sz w:val="21"/>
      <w:szCs w:val="22"/>
      <w:lang w:val="en-US" w:eastAsia="en-US" w:bidi="ar-SA"/>
    </w:rPr>
  </w:style>
  <w:style w:type="paragraph" w:styleId="3">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2">
    <w:name w:val="Default Paragraph Font"/>
    <w:semiHidden/>
    <w:unhideWhenUsed/>
    <w:uiPriority w:val="1"/>
  </w:style>
  <w:style w:type="table" w:default="1" w:styleId="32">
    <w:name w:val="Normal Table"/>
    <w:semiHidden/>
    <w:unhideWhenUsed/>
    <w:uiPriority w:val="99"/>
    <w:tblPr>
      <w:tblCellMar>
        <w:top w:w="0" w:type="dxa"/>
        <w:left w:w="108" w:type="dxa"/>
        <w:bottom w:w="0" w:type="dxa"/>
        <w:right w:w="108" w:type="dxa"/>
      </w:tblCellMar>
    </w:tblPr>
  </w:style>
  <w:style w:type="paragraph" w:styleId="2">
    <w:name w:val="macro"/>
    <w:link w:val="147"/>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unhideWhenUsed/>
    <w:uiPriority w:val="99"/>
    <w:pPr>
      <w:ind w:left="1080" w:hanging="360"/>
      <w:contextualSpacing/>
    </w:pPr>
  </w:style>
  <w:style w:type="paragraph" w:styleId="13">
    <w:name w:val="List Number 2"/>
    <w:basedOn w:val="1"/>
    <w:unhideWhenUsed/>
    <w:uiPriority w:val="99"/>
    <w:pPr>
      <w:numPr>
        <w:ilvl w:val="0"/>
        <w:numId w:val="1"/>
      </w:numPr>
      <w:contextualSpacing/>
    </w:pPr>
  </w:style>
  <w:style w:type="paragraph" w:styleId="14">
    <w:name w:val="List Number"/>
    <w:basedOn w:val="1"/>
    <w:unhideWhenUsed/>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uiPriority w:val="99"/>
    <w:pPr>
      <w:numPr>
        <w:ilvl w:val="0"/>
        <w:numId w:val="3"/>
      </w:numPr>
      <w:contextualSpacing/>
    </w:pPr>
  </w:style>
  <w:style w:type="paragraph" w:styleId="17">
    <w:name w:val="Body Text 3"/>
    <w:basedOn w:val="1"/>
    <w:link w:val="146"/>
    <w:unhideWhenUsed/>
    <w:uiPriority w:val="99"/>
    <w:pPr>
      <w:spacing w:after="120"/>
    </w:pPr>
    <w:rPr>
      <w:sz w:val="16"/>
      <w:szCs w:val="16"/>
    </w:rPr>
  </w:style>
  <w:style w:type="paragraph" w:styleId="18">
    <w:name w:val="List Bullet 3"/>
    <w:basedOn w:val="1"/>
    <w:unhideWhenUsed/>
    <w:uiPriority w:val="99"/>
    <w:pPr>
      <w:numPr>
        <w:ilvl w:val="0"/>
        <w:numId w:val="4"/>
      </w:numPr>
      <w:contextualSpacing/>
    </w:pPr>
  </w:style>
  <w:style w:type="paragraph" w:styleId="19">
    <w:name w:val="Body Text"/>
    <w:basedOn w:val="1"/>
    <w:link w:val="144"/>
    <w:unhideWhenUsed/>
    <w:uiPriority w:val="99"/>
    <w:pPr>
      <w:spacing w:after="120"/>
    </w:pPr>
  </w:style>
  <w:style w:type="paragraph" w:styleId="20">
    <w:name w:val="List Number 3"/>
    <w:basedOn w:val="1"/>
    <w:unhideWhenUsed/>
    <w:uiPriority w:val="99"/>
    <w:pPr>
      <w:numPr>
        <w:ilvl w:val="0"/>
        <w:numId w:val="5"/>
      </w:numPr>
      <w:contextualSpacing/>
    </w:pPr>
  </w:style>
  <w:style w:type="paragraph" w:styleId="21">
    <w:name w:val="List 2"/>
    <w:basedOn w:val="1"/>
    <w:unhideWhenUsed/>
    <w:uiPriority w:val="99"/>
    <w:pPr>
      <w:ind w:left="720" w:hanging="360"/>
      <w:contextualSpacing/>
    </w:pPr>
  </w:style>
  <w:style w:type="paragraph" w:styleId="22">
    <w:name w:val="List Continue"/>
    <w:basedOn w:val="1"/>
    <w:unhideWhenUsed/>
    <w:uiPriority w:val="99"/>
    <w:pPr>
      <w:spacing w:after="120"/>
      <w:ind w:left="360"/>
      <w:contextualSpacing/>
    </w:pPr>
  </w:style>
  <w:style w:type="paragraph" w:styleId="23">
    <w:name w:val="List Bullet 2"/>
    <w:basedOn w:val="1"/>
    <w:unhideWhenUsed/>
    <w:uiPriority w:val="99"/>
    <w:pPr>
      <w:numPr>
        <w:ilvl w:val="0"/>
        <w:numId w:val="6"/>
      </w:numPr>
      <w:contextualSpacing/>
    </w:pPr>
  </w:style>
  <w:style w:type="paragraph" w:styleId="24">
    <w:name w:val="footer"/>
    <w:basedOn w:val="1"/>
    <w:link w:val="136"/>
    <w:unhideWhenUsed/>
    <w:uiPriority w:val="99"/>
    <w:pPr>
      <w:tabs>
        <w:tab w:val="center" w:pos="4680"/>
        <w:tab w:val="right" w:pos="9360"/>
      </w:tabs>
      <w:spacing w:after="0" w:line="240" w:lineRule="auto"/>
    </w:pPr>
  </w:style>
  <w:style w:type="paragraph" w:styleId="25">
    <w:name w:val="header"/>
    <w:basedOn w:val="1"/>
    <w:link w:val="135"/>
    <w:unhideWhenUsed/>
    <w:uiPriority w:val="99"/>
    <w:pPr>
      <w:tabs>
        <w:tab w:val="center" w:pos="4680"/>
        <w:tab w:val="right" w:pos="9360"/>
      </w:tabs>
      <w:spacing w:after="0" w:line="240" w:lineRule="auto"/>
    </w:pPr>
  </w:style>
  <w:style w:type="paragraph" w:styleId="26">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unhideWhenUsed/>
    <w:uiPriority w:val="99"/>
    <w:pPr>
      <w:ind w:left="360" w:hanging="360"/>
      <w:contextualSpacing/>
    </w:pPr>
  </w:style>
  <w:style w:type="paragraph" w:styleId="28">
    <w:name w:val="Body Text 2"/>
    <w:basedOn w:val="1"/>
    <w:link w:val="145"/>
    <w:unhideWhenUsed/>
    <w:uiPriority w:val="99"/>
    <w:pPr>
      <w:spacing w:after="120" w:line="480" w:lineRule="auto"/>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3">
    <w:name w:val="Table Grid"/>
    <w:basedOn w:val="3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4">
    <w:name w:val="Light Shading"/>
    <w:basedOn w:val="3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5">
    <w:name w:val="Light Shading Accent 1"/>
    <w:basedOn w:val="3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6">
    <w:name w:val="Light Shading Accent 2"/>
    <w:basedOn w:val="3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7">
    <w:name w:val="Light Shading Accent 3"/>
    <w:basedOn w:val="3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8">
    <w:name w:val="Light Shading Accent 4"/>
    <w:basedOn w:val="3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39">
    <w:name w:val="Light Shading Accent 5"/>
    <w:basedOn w:val="3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0">
    <w:name w:val="Light Shading Accent 6"/>
    <w:basedOn w:val="3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1">
    <w:name w:val="Light List"/>
    <w:basedOn w:val="3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2">
    <w:name w:val="Light List Accent 1"/>
    <w:basedOn w:val="3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3">
    <w:name w:val="Light List Accent 2"/>
    <w:basedOn w:val="3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4">
    <w:name w:val="Light List Accent 3"/>
    <w:basedOn w:val="3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5">
    <w:name w:val="Light List Accent 4"/>
    <w:basedOn w:val="3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6">
    <w:name w:val="Light List Accent 5"/>
    <w:basedOn w:val="3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7">
    <w:name w:val="Light List Accent 6"/>
    <w:basedOn w:val="3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8">
    <w:name w:val="Light Grid"/>
    <w:basedOn w:val="3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49">
    <w:name w:val="Light Grid Accent 1"/>
    <w:basedOn w:val="3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0">
    <w:name w:val="Light Grid Accent 2"/>
    <w:basedOn w:val="3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1">
    <w:name w:val="Light Grid Accent 3"/>
    <w:basedOn w:val="3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2">
    <w:name w:val="Light Grid Accent 4"/>
    <w:basedOn w:val="3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3">
    <w:name w:val="Light Grid Accent 5"/>
    <w:basedOn w:val="3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4">
    <w:name w:val="Light Grid Accent 6"/>
    <w:basedOn w:val="3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5">
    <w:name w:val="Medium Shading 1"/>
    <w:basedOn w:val="3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6">
    <w:name w:val="Medium Shading 1 Accent 1"/>
    <w:basedOn w:val="3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7">
    <w:name w:val="Medium Shading 1 Accent 2"/>
    <w:basedOn w:val="3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8">
    <w:name w:val="Medium Shading 1 Accent 3"/>
    <w:basedOn w:val="3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59">
    <w:name w:val="Medium Shading 1 Accent 4"/>
    <w:basedOn w:val="3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0">
    <w:name w:val="Medium Shading 1 Accent 5"/>
    <w:basedOn w:val="3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1">
    <w:name w:val="Medium Shading 1 Accent 6"/>
    <w:basedOn w:val="3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2">
    <w:name w:val="Medium Shading 2"/>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3">
    <w:name w:val="Medium Shading 2 Accent 1"/>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2"/>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3"/>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4"/>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5"/>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6"/>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List 1"/>
    <w:basedOn w:val="3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0">
    <w:name w:val="Medium List 1 Accent 1"/>
    <w:basedOn w:val="3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1">
    <w:name w:val="Medium List 1 Accent 2"/>
    <w:basedOn w:val="3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2">
    <w:name w:val="Medium List 1 Accent 3"/>
    <w:basedOn w:val="3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3">
    <w:name w:val="Medium List 1 Accent 4"/>
    <w:basedOn w:val="3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4">
    <w:name w:val="Medium List 1 Accent 5"/>
    <w:basedOn w:val="3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5">
    <w:name w:val="Medium List 1 Accent 6"/>
    <w:basedOn w:val="3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6">
    <w:name w:val="Medium Lis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1"/>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3"/>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4"/>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5"/>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6"/>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Grid 1"/>
    <w:basedOn w:val="3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4">
    <w:name w:val="Medium Grid 1 Accent 1"/>
    <w:basedOn w:val="3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5">
    <w:name w:val="Medium Grid 1 Accent 2"/>
    <w:basedOn w:val="3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6">
    <w:name w:val="Medium Grid 1 Accent 3"/>
    <w:basedOn w:val="3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7">
    <w:name w:val="Medium Grid 1 Accent 4"/>
    <w:basedOn w:val="3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8">
    <w:name w:val="Medium Grid 1 Accent 5"/>
    <w:basedOn w:val="3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89">
    <w:name w:val="Medium Grid 1 Accent 6"/>
    <w:basedOn w:val="3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0">
    <w:name w:val="Medium Grid 2"/>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1">
    <w:name w:val="Medium Grid 2 Accent 1"/>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2">
    <w:name w:val="Medium Grid 2 Accent 2"/>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3">
    <w:name w:val="Medium Grid 2 Accent 3"/>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4">
    <w:name w:val="Medium Grid 2 Accent 4"/>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5">
    <w:name w:val="Medium Grid 2 Accent 5"/>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6">
    <w:name w:val="Medium Grid 2 Accent 6"/>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7">
    <w:name w:val="Medium Grid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8">
    <w:name w:val="Medium Grid 3 Accent 1"/>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99">
    <w:name w:val="Medium Grid 3 Accent 2"/>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0">
    <w:name w:val="Medium Grid 3 Accent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1">
    <w:name w:val="Medium Grid 3 Accent 4"/>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2">
    <w:name w:val="Medium Grid 3 Accent 5"/>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3">
    <w:name w:val="Medium Grid 3 Accent 6"/>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4">
    <w:name w:val="Dark List"/>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5">
    <w:name w:val="Dark List Accent 1"/>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6">
    <w:name w:val="Dark List Accent 2"/>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7">
    <w:name w:val="Dark List Accent 3"/>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8">
    <w:name w:val="Dark List Accent 4"/>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09">
    <w:name w:val="Dark List Accent 5"/>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0">
    <w:name w:val="Dark List Accent 6"/>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1">
    <w:name w:val="Colorful Shading"/>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2">
    <w:name w:val="Colorful Shading Accent 1"/>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2"/>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3"/>
    <w:basedOn w:val="3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5">
    <w:name w:val="Colorful Shading Accent 4"/>
    <w:basedOn w:val="3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5"/>
    <w:basedOn w:val="3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6"/>
    <w:basedOn w:val="3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List"/>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19">
    <w:name w:val="Colorful List Accent 1"/>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0">
    <w:name w:val="Colorful List Accent 2"/>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1">
    <w:name w:val="Colorful List Accent 3"/>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2">
    <w:name w:val="Colorful List Accent 4"/>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3">
    <w:name w:val="Colorful List Accent 5"/>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4">
    <w:name w:val="Colorful List Accent 6"/>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5">
    <w:name w:val="Colorful Grid"/>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6">
    <w:name w:val="Colorful Grid Accent 1"/>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7">
    <w:name w:val="Colorful Grid Accent 2"/>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8">
    <w:name w:val="Colorful Grid Accent 3"/>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29">
    <w:name w:val="Colorful Grid Accent 4"/>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0">
    <w:name w:val="Colorful Grid Accent 5"/>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1">
    <w:name w:val="Colorful Grid Accent 6"/>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3">
    <w:name w:val="Strong"/>
    <w:basedOn w:val="132"/>
    <w:qFormat/>
    <w:uiPriority w:val="22"/>
    <w:rPr>
      <w:b/>
      <w:bCs/>
    </w:rPr>
  </w:style>
  <w:style w:type="character" w:styleId="134">
    <w:name w:val="Emphasis"/>
    <w:basedOn w:val="132"/>
    <w:qFormat/>
    <w:uiPriority w:val="20"/>
    <w:rPr>
      <w:i/>
      <w:iCs/>
    </w:rPr>
  </w:style>
  <w:style w:type="character" w:customStyle="1" w:styleId="135">
    <w:name w:val="Header Char"/>
    <w:basedOn w:val="132"/>
    <w:link w:val="25"/>
    <w:qFormat/>
    <w:uiPriority w:val="99"/>
  </w:style>
  <w:style w:type="character" w:customStyle="1" w:styleId="136">
    <w:name w:val="Footer Char"/>
    <w:basedOn w:val="132"/>
    <w:link w:val="24"/>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32"/>
    <w:link w:val="3"/>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32"/>
    <w:link w:val="4"/>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132"/>
    <w:link w:val="5"/>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32"/>
    <w:link w:val="31"/>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32"/>
    <w:link w:val="26"/>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32"/>
    <w:link w:val="19"/>
    <w:uiPriority w:val="99"/>
  </w:style>
  <w:style w:type="character" w:customStyle="1" w:styleId="145">
    <w:name w:val="Body Text 2 Char"/>
    <w:basedOn w:val="132"/>
    <w:link w:val="28"/>
    <w:uiPriority w:val="99"/>
  </w:style>
  <w:style w:type="character" w:customStyle="1" w:styleId="146">
    <w:name w:val="Body Text 3 Char"/>
    <w:basedOn w:val="132"/>
    <w:link w:val="17"/>
    <w:uiPriority w:val="99"/>
    <w:rPr>
      <w:sz w:val="16"/>
      <w:szCs w:val="16"/>
    </w:rPr>
  </w:style>
  <w:style w:type="character" w:customStyle="1" w:styleId="147">
    <w:name w:val="Macro Text Char"/>
    <w:basedOn w:val="132"/>
    <w:link w:val="2"/>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32"/>
    <w:link w:val="148"/>
    <w:uiPriority w:val="29"/>
    <w:rPr>
      <w:i/>
      <w:iCs/>
      <w:color w:val="000000" w:themeColor="text1"/>
      <w14:textFill>
        <w14:solidFill>
          <w14:schemeClr w14:val="tx1"/>
        </w14:solidFill>
      </w14:textFill>
    </w:rPr>
  </w:style>
  <w:style w:type="character" w:customStyle="1" w:styleId="150">
    <w:name w:val="Heading 4 Char"/>
    <w:basedOn w:val="132"/>
    <w:link w:val="6"/>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32"/>
    <w:link w:val="7"/>
    <w:semiHidden/>
    <w:uiPriority w:val="9"/>
    <w:rPr>
      <w:rFonts w:asciiTheme="majorHAnsi" w:hAnsiTheme="majorHAnsi" w:eastAsiaTheme="majorEastAsia" w:cstheme="majorBidi"/>
      <w:color w:val="254061" w:themeColor="accent1" w:themeShade="80"/>
    </w:rPr>
  </w:style>
  <w:style w:type="character" w:customStyle="1" w:styleId="152">
    <w:name w:val="Heading 6 Char"/>
    <w:basedOn w:val="132"/>
    <w:link w:val="8"/>
    <w:semiHidden/>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32"/>
    <w:link w:val="9"/>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32"/>
    <w:link w:val="10"/>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32"/>
    <w:link w:val="11"/>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32"/>
    <w:link w:val="156"/>
    <w:uiPriority w:val="30"/>
    <w:rPr>
      <w:b/>
      <w:bCs/>
      <w:i/>
      <w:iCs/>
      <w:color w:val="4F81BD" w:themeColor="accent1"/>
      <w14:textFill>
        <w14:solidFill>
          <w14:schemeClr w14:val="accent1"/>
        </w14:solidFill>
      </w14:textFill>
    </w:rPr>
  </w:style>
  <w:style w:type="character" w:customStyle="1" w:styleId="158">
    <w:name w:val="Subtle Emphasis"/>
    <w:basedOn w:val="132"/>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32"/>
    <w:qFormat/>
    <w:uiPriority w:val="21"/>
    <w:rPr>
      <w:b/>
      <w:bCs/>
      <w:i/>
      <w:iCs/>
      <w:color w:val="4F81BD" w:themeColor="accent1"/>
      <w14:textFill>
        <w14:solidFill>
          <w14:schemeClr w14:val="accent1"/>
        </w14:solidFill>
      </w14:textFill>
    </w:rPr>
  </w:style>
  <w:style w:type="character" w:customStyle="1" w:styleId="160">
    <w:name w:val="Subtle Reference"/>
    <w:basedOn w:val="132"/>
    <w:qFormat/>
    <w:uiPriority w:val="31"/>
    <w:rPr>
      <w:smallCaps/>
      <w:color w:val="C0504D" w:themeColor="accent2"/>
      <w:u w:val="single"/>
      <w14:textFill>
        <w14:solidFill>
          <w14:schemeClr w14:val="accent2"/>
        </w14:solidFill>
      </w14:textFill>
    </w:rPr>
  </w:style>
  <w:style w:type="character" w:customStyle="1" w:styleId="161">
    <w:name w:val="Intense Reference"/>
    <w:basedOn w:val="132"/>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32"/>
    <w:qFormat/>
    <w:uiPriority w:val="33"/>
    <w:rPr>
      <w:b/>
      <w:bCs/>
      <w:smallCaps/>
      <w:spacing w:val="5"/>
    </w:rPr>
  </w:style>
  <w:style w:type="paragraph" w:customStyle="1" w:styleId="163">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4</Pages>
  <Words>728</Words>
  <Characters>4744</Characters>
  <Lines>0</Lines>
  <Paragraphs>0</Paragraphs>
  <TotalTime>0</TotalTime>
  <ScaleCrop>false</ScaleCrop>
  <LinksUpToDate>false</LinksUpToDate>
  <CharactersWithSpaces>5391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SieracTech</dc:creator>
  <dc:description>generated by python-docx</dc:description>
  <cp:keywords>horizontal cartoning machine, carton packaging machine, automatic cartoner, SWL-180</cp:keywords>
  <cp:lastModifiedBy>Sieractech </cp:lastModifiedBy>
  <dcterms:modified xsi:type="dcterms:W3CDTF">2026-07-07T06:55:58Z</dcterms:modified>
  <dc:subject>Website product introduction and custom attributes</dc:subject>
  <dc:title>SWL-180 High-Speed Horizontal Cartoning Machine - English Product Introduction</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eyJoZGlkIjoiMjcwODc1Y2I1Y2UwZTgzMGI0ZmVhNWYwOWI0M2JiMzEiLCJ1c2VySWQiOiIxODM3MjI0ODExIn0=</vt:lpwstr>
  </property>
  <property fmtid="{D5CDD505-2E9C-101B-9397-08002B2CF9AE}" pid="3" name="KSOProductBuildVer">
    <vt:lpwstr>2052-12.1.0.26375</vt:lpwstr>
  </property>
  <property fmtid="{D5CDD505-2E9C-101B-9397-08002B2CF9AE}" pid="4" name="ICV">
    <vt:lpwstr>1520718BAD4748FD8A5B691C16E6C20A_12</vt:lpwstr>
  </property>
</Properties>
</file>